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C05" w:rsidRPr="00343AF3" w:rsidRDefault="001A0C05" w:rsidP="000B56B4">
      <w:pPr>
        <w:pStyle w:val="TitreDossier"/>
        <w:pBdr>
          <w:top w:val="single" w:sz="12" w:space="12" w:color="C00000"/>
          <w:left w:val="single" w:sz="12" w:space="4" w:color="C00000"/>
          <w:bottom w:val="single" w:sz="12" w:space="12" w:color="C00000"/>
          <w:right w:val="single" w:sz="12" w:space="4" w:color="C00000"/>
        </w:pBdr>
        <w:rPr>
          <w:color w:val="CC0000"/>
        </w:rPr>
      </w:pPr>
      <w:r w:rsidRPr="00343AF3">
        <w:rPr>
          <w:color w:val="CC0000"/>
        </w:rPr>
        <w:t>Le revenu des ménages et son utilisation : Consommation et épargne</w:t>
      </w:r>
    </w:p>
    <w:p w:rsidR="001A0C05" w:rsidRDefault="001A0C05" w:rsidP="001A0C05">
      <w:pPr>
        <w:spacing w:before="100" w:beforeAutospacing="1" w:after="100" w:afterAutospacing="1" w:line="240" w:lineRule="auto"/>
        <w:rPr>
          <w:rFonts w:ascii="Arial" w:eastAsia="Times New Roman" w:hAnsi="Arial" w:cs="Arial"/>
          <w:sz w:val="24"/>
          <w:szCs w:val="24"/>
          <w:lang w:eastAsia="fr-FR"/>
        </w:rPr>
      </w:pPr>
      <w:r w:rsidRPr="00F9154B">
        <w:rPr>
          <w:rFonts w:ascii="Arial" w:eastAsia="Times New Roman" w:hAnsi="Arial" w:cs="Arial"/>
          <w:b/>
          <w:bCs/>
          <w:i/>
          <w:iCs/>
          <w:sz w:val="24"/>
          <w:szCs w:val="24"/>
          <w:lang w:eastAsia="fr-FR"/>
        </w:rPr>
        <w:t xml:space="preserve">Par </w:t>
      </w:r>
      <w:r w:rsidR="000F51D8">
        <w:rPr>
          <w:rFonts w:ascii="Arial" w:eastAsia="Times New Roman" w:hAnsi="Arial" w:cs="Arial"/>
          <w:b/>
          <w:bCs/>
          <w:i/>
          <w:iCs/>
          <w:sz w:val="24"/>
          <w:szCs w:val="24"/>
          <w:lang w:eastAsia="fr-FR"/>
        </w:rPr>
        <w:t xml:space="preserve">Jean-Pierre TESTENOIRE ; </w:t>
      </w:r>
      <w:bookmarkStart w:id="0" w:name="_GoBack"/>
      <w:bookmarkEnd w:id="0"/>
      <w:r w:rsidR="00B326A9">
        <w:rPr>
          <w:rFonts w:ascii="Arial" w:eastAsia="Times New Roman" w:hAnsi="Arial" w:cs="Arial"/>
          <w:b/>
          <w:bCs/>
          <w:i/>
          <w:iCs/>
          <w:sz w:val="24"/>
          <w:szCs w:val="24"/>
          <w:lang w:eastAsia="fr-FR"/>
        </w:rPr>
        <w:t>mis</w:t>
      </w:r>
      <w:r w:rsidR="000F51D8">
        <w:rPr>
          <w:rFonts w:ascii="Arial" w:eastAsia="Times New Roman" w:hAnsi="Arial" w:cs="Arial"/>
          <w:b/>
          <w:bCs/>
          <w:i/>
          <w:iCs/>
          <w:sz w:val="24"/>
          <w:szCs w:val="24"/>
          <w:lang w:eastAsia="fr-FR"/>
        </w:rPr>
        <w:t>e</w:t>
      </w:r>
      <w:r w:rsidR="00B326A9">
        <w:rPr>
          <w:rFonts w:ascii="Arial" w:eastAsia="Times New Roman" w:hAnsi="Arial" w:cs="Arial"/>
          <w:b/>
          <w:bCs/>
          <w:i/>
          <w:iCs/>
          <w:sz w:val="24"/>
          <w:szCs w:val="24"/>
          <w:lang w:eastAsia="fr-FR"/>
        </w:rPr>
        <w:t xml:space="preserve"> à jour 2012 par </w:t>
      </w:r>
      <w:r w:rsidR="00FD4EF9" w:rsidRPr="00F9154B">
        <w:rPr>
          <w:rFonts w:ascii="Arial" w:eastAsia="Times New Roman" w:hAnsi="Arial" w:cs="Arial"/>
          <w:b/>
          <w:bCs/>
          <w:i/>
          <w:iCs/>
          <w:sz w:val="24"/>
          <w:szCs w:val="24"/>
          <w:lang w:eastAsia="fr-FR"/>
        </w:rPr>
        <w:t>Marie BERRAH</w:t>
      </w:r>
      <w:r w:rsidRPr="00F9154B">
        <w:rPr>
          <w:rFonts w:ascii="Arial" w:eastAsia="Times New Roman" w:hAnsi="Arial" w:cs="Arial"/>
          <w:sz w:val="24"/>
          <w:szCs w:val="24"/>
          <w:lang w:eastAsia="fr-FR"/>
        </w:rPr>
        <w:t xml:space="preserve"> </w:t>
      </w:r>
    </w:p>
    <w:p w:rsidR="000B56B4" w:rsidRDefault="007B65D6" w:rsidP="000B56B4">
      <w:pPr>
        <w:pStyle w:val="Paragraphedeliste"/>
        <w:numPr>
          <w:ilvl w:val="0"/>
          <w:numId w:val="7"/>
        </w:numPr>
        <w:spacing w:before="100" w:beforeAutospacing="1" w:after="100" w:afterAutospacing="1" w:line="240" w:lineRule="auto"/>
        <w:rPr>
          <w:rFonts w:ascii="Calibri" w:eastAsia="Times New Roman" w:hAnsi="Calibri" w:cs="Arial"/>
          <w:b/>
          <w:bCs/>
          <w:color w:val="CC0000"/>
          <w:sz w:val="24"/>
          <w:szCs w:val="24"/>
          <w:lang w:eastAsia="fr-FR"/>
        </w:rPr>
      </w:pPr>
      <w:hyperlink r:id="rId9" w:anchor="T1" w:history="1">
        <w:r w:rsidR="001A0C05" w:rsidRPr="000B56B4">
          <w:rPr>
            <w:rFonts w:ascii="Calibri" w:eastAsia="Times New Roman" w:hAnsi="Calibri" w:cs="Arial"/>
            <w:b/>
            <w:bCs/>
            <w:color w:val="CC0000"/>
            <w:sz w:val="24"/>
            <w:szCs w:val="24"/>
            <w:lang w:eastAsia="fr-FR"/>
          </w:rPr>
          <w:t>Les revenus des ménages</w:t>
        </w:r>
      </w:hyperlink>
    </w:p>
    <w:p w:rsidR="001A0C05" w:rsidRPr="00AE4D64" w:rsidRDefault="007B65D6" w:rsidP="00AE4D64">
      <w:pPr>
        <w:pStyle w:val="Paragraphedeliste"/>
        <w:numPr>
          <w:ilvl w:val="0"/>
          <w:numId w:val="7"/>
        </w:numPr>
        <w:spacing w:before="100" w:beforeAutospacing="1" w:after="100" w:afterAutospacing="1" w:line="240" w:lineRule="auto"/>
        <w:rPr>
          <w:rFonts w:ascii="Calibri" w:eastAsia="Times New Roman" w:hAnsi="Calibri" w:cs="Arial"/>
          <w:b/>
          <w:bCs/>
          <w:color w:val="CC0000"/>
          <w:sz w:val="24"/>
          <w:szCs w:val="24"/>
          <w:lang w:eastAsia="fr-FR"/>
        </w:rPr>
      </w:pPr>
      <w:hyperlink r:id="rId10" w:anchor="T2" w:history="1">
        <w:r w:rsidR="000B56B4" w:rsidRPr="000B56B4">
          <w:rPr>
            <w:rFonts w:ascii="Calibri" w:eastAsia="Times New Roman" w:hAnsi="Calibri" w:cs="Arial"/>
            <w:b/>
            <w:bCs/>
            <w:color w:val="CC0000"/>
            <w:sz w:val="24"/>
            <w:szCs w:val="24"/>
            <w:lang w:eastAsia="fr-FR"/>
          </w:rPr>
          <w:t>L'utilisation du revenu des ménages : consommation et épargne</w:t>
        </w:r>
      </w:hyperlink>
      <w:r w:rsidR="001A0C05" w:rsidRPr="00AE4D64">
        <w:rPr>
          <w:rFonts w:ascii="Calibri" w:eastAsia="Times New Roman" w:hAnsi="Calibri" w:cs="Arial"/>
          <w:b/>
          <w:bCs/>
          <w:color w:val="CC0000"/>
          <w:sz w:val="24"/>
          <w:szCs w:val="24"/>
          <w:lang w:eastAsia="fr-FR"/>
        </w:rPr>
        <w:br/>
      </w:r>
    </w:p>
    <w:p w:rsidR="001A0C05" w:rsidRPr="00343AF3" w:rsidRDefault="000B56B4" w:rsidP="00343AF3">
      <w:pPr>
        <w:spacing w:line="240" w:lineRule="auto"/>
        <w:jc w:val="both"/>
        <w:rPr>
          <w:rFonts w:ascii="Arial" w:eastAsia="Times New Roman" w:hAnsi="Arial" w:cs="Times New Roman"/>
          <w:b/>
          <w:color w:val="CC0000"/>
          <w:sz w:val="30"/>
          <w:szCs w:val="24"/>
          <w:lang w:eastAsia="fr-FR"/>
        </w:rPr>
      </w:pPr>
      <w:bookmarkStart w:id="1" w:name="T1"/>
      <w:bookmarkEnd w:id="1"/>
      <w:r>
        <w:rPr>
          <w:rFonts w:ascii="Arial" w:eastAsia="Times New Roman" w:hAnsi="Arial" w:cs="Times New Roman"/>
          <w:b/>
          <w:color w:val="CC0000"/>
          <w:sz w:val="30"/>
          <w:szCs w:val="24"/>
          <w:lang w:eastAsia="fr-FR"/>
        </w:rPr>
        <w:t>1.</w:t>
      </w:r>
      <w:r w:rsidR="00343AF3">
        <w:rPr>
          <w:rFonts w:ascii="Arial" w:eastAsia="Times New Roman" w:hAnsi="Arial" w:cs="Times New Roman"/>
          <w:b/>
          <w:color w:val="CC0000"/>
          <w:sz w:val="30"/>
          <w:szCs w:val="24"/>
          <w:lang w:eastAsia="fr-FR"/>
        </w:rPr>
        <w:t xml:space="preserve"> </w:t>
      </w:r>
      <w:r w:rsidR="001A0C05" w:rsidRPr="00343AF3">
        <w:rPr>
          <w:rFonts w:ascii="Arial" w:eastAsia="Times New Roman" w:hAnsi="Arial" w:cs="Times New Roman"/>
          <w:b/>
          <w:color w:val="CC0000"/>
          <w:sz w:val="30"/>
          <w:szCs w:val="24"/>
          <w:lang w:eastAsia="fr-FR"/>
        </w:rPr>
        <w:t xml:space="preserve">Les revenus des ménages </w:t>
      </w:r>
    </w:p>
    <w:p w:rsidR="001A0C05" w:rsidRPr="00343AF3" w:rsidRDefault="001A0C05" w:rsidP="0071204F">
      <w:pPr>
        <w:spacing w:before="100" w:beforeAutospacing="1" w:after="100" w:afterAutospacing="1" w:line="240" w:lineRule="auto"/>
        <w:jc w:val="both"/>
        <w:rPr>
          <w:rFonts w:ascii="Calibri" w:eastAsia="Times New Roman" w:hAnsi="Calibri" w:cs="Arial"/>
          <w:sz w:val="24"/>
          <w:szCs w:val="24"/>
          <w:lang w:eastAsia="fr-FR"/>
        </w:rPr>
      </w:pPr>
      <w:r w:rsidRPr="00343AF3">
        <w:rPr>
          <w:rFonts w:ascii="Calibri" w:eastAsia="Times New Roman" w:hAnsi="Calibri" w:cs="Arial"/>
          <w:sz w:val="24"/>
          <w:szCs w:val="24"/>
          <w:lang w:eastAsia="fr-FR"/>
        </w:rPr>
        <w:t xml:space="preserve">Le revenu primaire représente les recettes monétaires que les agents tirent de leur contribution, directe (production) ou indirecte (placement de l'épargne), à l'activité économique. On distingue quatre formes principales de revenu : les revenus du travail (exemple le salaire pour les ménages), les revenus de l'épargne (intérêts et dividendes), le profit (des entreprises) et la rente (revenu régulier qui ne dépend pas du travail mais de la propriété foncière ou des placements en emprunts publics). Les ménages répartissent leur revenu net disponible (après versement des impôts et cotisations sociales et encaissements des revenus indirects) entre la consommation et </w:t>
      </w:r>
      <w:r w:rsidR="002C593F">
        <w:rPr>
          <w:rFonts w:ascii="Calibri" w:eastAsia="Times New Roman" w:hAnsi="Calibri" w:cs="Arial"/>
          <w:sz w:val="24"/>
          <w:szCs w:val="24"/>
          <w:lang w:eastAsia="fr-FR"/>
        </w:rPr>
        <w:t>l'épargne.</w:t>
      </w:r>
    </w:p>
    <w:p w:rsidR="001A0C05" w:rsidRPr="00B933BB" w:rsidRDefault="000B56B4" w:rsidP="0071204F">
      <w:pPr>
        <w:spacing w:before="100" w:beforeAutospacing="1" w:after="100" w:afterAutospacing="1" w:line="240" w:lineRule="auto"/>
        <w:jc w:val="both"/>
        <w:rPr>
          <w:rFonts w:ascii="Arial" w:eastAsia="Times New Roman" w:hAnsi="Arial" w:cs="Times New Roman"/>
          <w:b/>
          <w:color w:val="CC0000"/>
          <w:sz w:val="26"/>
          <w:szCs w:val="24"/>
          <w:lang w:eastAsia="fr-FR"/>
        </w:rPr>
      </w:pPr>
      <w:r>
        <w:rPr>
          <w:rFonts w:ascii="Arial" w:eastAsia="Times New Roman" w:hAnsi="Arial" w:cs="Times New Roman"/>
          <w:b/>
          <w:color w:val="CC0000"/>
          <w:sz w:val="26"/>
          <w:szCs w:val="24"/>
          <w:lang w:eastAsia="fr-FR"/>
        </w:rPr>
        <w:t xml:space="preserve">I - </w:t>
      </w:r>
      <w:r w:rsidR="001A0C05" w:rsidRPr="00B933BB">
        <w:rPr>
          <w:rFonts w:ascii="Arial" w:eastAsia="Times New Roman" w:hAnsi="Arial" w:cs="Times New Roman"/>
          <w:b/>
          <w:color w:val="CC0000"/>
          <w:sz w:val="26"/>
          <w:szCs w:val="24"/>
          <w:lang w:eastAsia="fr-FR"/>
        </w:rPr>
        <w:t xml:space="preserve">L'origine des revenus </w:t>
      </w:r>
    </w:p>
    <w:p w:rsidR="001A0C05" w:rsidRPr="00343AF3" w:rsidRDefault="001A0C05" w:rsidP="0071204F">
      <w:pPr>
        <w:spacing w:before="100" w:beforeAutospacing="1" w:after="100" w:afterAutospacing="1" w:line="240" w:lineRule="auto"/>
        <w:jc w:val="both"/>
        <w:rPr>
          <w:rFonts w:ascii="Calibri" w:eastAsia="Times New Roman" w:hAnsi="Calibri" w:cs="Arial"/>
          <w:sz w:val="24"/>
          <w:szCs w:val="24"/>
          <w:lang w:eastAsia="fr-FR"/>
        </w:rPr>
      </w:pPr>
      <w:r w:rsidRPr="00343AF3">
        <w:rPr>
          <w:rFonts w:ascii="Calibri" w:eastAsia="Times New Roman" w:hAnsi="Calibri" w:cs="Arial"/>
          <w:sz w:val="24"/>
          <w:szCs w:val="24"/>
          <w:lang w:eastAsia="fr-FR"/>
        </w:rPr>
        <w:t xml:space="preserve">Les revenus représentent la contrepartie monétaire de l'activité productive des agents ou de la collectivité. </w:t>
      </w:r>
    </w:p>
    <w:p w:rsidR="001A0C05" w:rsidRPr="000B56B4" w:rsidRDefault="001A0C05" w:rsidP="0071204F">
      <w:pPr>
        <w:spacing w:before="100" w:beforeAutospacing="1" w:after="100" w:afterAutospacing="1" w:line="240" w:lineRule="auto"/>
        <w:jc w:val="both"/>
        <w:rPr>
          <w:rFonts w:ascii="Calibri" w:eastAsia="Times New Roman" w:hAnsi="Calibri" w:cs="Arial"/>
          <w:b/>
          <w:sz w:val="24"/>
          <w:szCs w:val="24"/>
          <w:lang w:eastAsia="fr-FR"/>
        </w:rPr>
      </w:pPr>
      <w:r w:rsidRPr="000B56B4">
        <w:rPr>
          <w:rFonts w:ascii="Calibri" w:eastAsia="Times New Roman" w:hAnsi="Calibri" w:cs="Arial"/>
          <w:b/>
          <w:sz w:val="24"/>
          <w:szCs w:val="24"/>
          <w:lang w:eastAsia="fr-FR"/>
        </w:rPr>
        <w:t xml:space="preserve">Typologie générale </w:t>
      </w:r>
    </w:p>
    <w:p w:rsidR="001A0C05" w:rsidRPr="00343AF3" w:rsidRDefault="001A0C05" w:rsidP="0071204F">
      <w:pPr>
        <w:spacing w:before="100" w:beforeAutospacing="1" w:after="100" w:afterAutospacing="1" w:line="240" w:lineRule="auto"/>
        <w:jc w:val="both"/>
        <w:rPr>
          <w:rFonts w:ascii="Calibri" w:eastAsia="Times New Roman" w:hAnsi="Calibri" w:cs="Arial"/>
          <w:sz w:val="24"/>
          <w:szCs w:val="24"/>
          <w:lang w:eastAsia="fr-FR"/>
        </w:rPr>
      </w:pPr>
      <w:r w:rsidRPr="00343AF3">
        <w:rPr>
          <w:rFonts w:ascii="Calibri" w:eastAsia="Times New Roman" w:hAnsi="Calibri" w:cs="Arial"/>
          <w:sz w:val="24"/>
          <w:szCs w:val="24"/>
          <w:lang w:eastAsia="fr-FR"/>
        </w:rPr>
        <w:t xml:space="preserve">Le revenu primaire, complété par des transferts (allocations, subventions), correspond au revenu brut. Le revenu net, ou revenu disponible d'un ménage comprend les revenus d'activité, les revenus du patrimoine, les transferts en provenance d'autres ménages et les prestations sociales (y compris les pensions de retraite et les indemnités de chômage), nets des impôts directs. </w:t>
      </w:r>
    </w:p>
    <w:p w:rsidR="00106331" w:rsidRPr="00343AF3" w:rsidRDefault="001A0C05" w:rsidP="00106331">
      <w:pPr>
        <w:spacing w:before="100" w:beforeAutospacing="1" w:after="100" w:afterAutospacing="1" w:line="240" w:lineRule="auto"/>
        <w:jc w:val="both"/>
        <w:rPr>
          <w:rFonts w:ascii="Calibri" w:eastAsia="Times New Roman" w:hAnsi="Calibri" w:cs="Arial"/>
          <w:sz w:val="24"/>
          <w:szCs w:val="24"/>
          <w:lang w:eastAsia="fr-FR"/>
        </w:rPr>
      </w:pPr>
      <w:r w:rsidRPr="00343AF3">
        <w:rPr>
          <w:rFonts w:ascii="Calibri" w:eastAsia="Times New Roman" w:hAnsi="Calibri" w:cs="Arial"/>
          <w:sz w:val="24"/>
          <w:szCs w:val="24"/>
          <w:lang w:eastAsia="fr-FR"/>
        </w:rPr>
        <w:t>Revenu brut = revenus primaires + reve</w:t>
      </w:r>
      <w:r w:rsidR="00106331" w:rsidRPr="00343AF3">
        <w:rPr>
          <w:rFonts w:ascii="Calibri" w:eastAsia="Times New Roman" w:hAnsi="Calibri" w:cs="Arial"/>
          <w:sz w:val="24"/>
          <w:szCs w:val="24"/>
          <w:lang w:eastAsia="fr-FR"/>
        </w:rPr>
        <w:t xml:space="preserve">nu secondaire (ou de transfert) </w:t>
      </w:r>
    </w:p>
    <w:p w:rsidR="001A0C05" w:rsidRDefault="001A0C05" w:rsidP="00106331">
      <w:pPr>
        <w:spacing w:before="100" w:beforeAutospacing="1" w:after="100" w:afterAutospacing="1" w:line="240" w:lineRule="auto"/>
        <w:jc w:val="both"/>
        <w:rPr>
          <w:rFonts w:ascii="Calibri" w:eastAsia="Times New Roman" w:hAnsi="Calibri" w:cs="Arial"/>
          <w:sz w:val="24"/>
          <w:szCs w:val="24"/>
          <w:lang w:eastAsia="fr-FR"/>
        </w:rPr>
      </w:pPr>
      <w:r w:rsidRPr="00343AF3">
        <w:rPr>
          <w:rFonts w:ascii="Calibri" w:eastAsia="Times New Roman" w:hAnsi="Calibri" w:cs="Arial"/>
          <w:sz w:val="24"/>
          <w:szCs w:val="24"/>
          <w:lang w:eastAsia="fr-FR"/>
        </w:rPr>
        <w:t xml:space="preserve">Revenu net = revenus bruts – (impôts </w:t>
      </w:r>
      <w:r w:rsidR="00106331" w:rsidRPr="00343AF3">
        <w:rPr>
          <w:rFonts w:ascii="Calibri" w:eastAsia="Times New Roman" w:hAnsi="Calibri" w:cs="Arial"/>
          <w:sz w:val="24"/>
          <w:szCs w:val="24"/>
          <w:lang w:eastAsia="fr-FR"/>
        </w:rPr>
        <w:t>directs + cotisations sociales</w:t>
      </w:r>
      <w:proofErr w:type="gramStart"/>
      <w:r w:rsidR="00106331" w:rsidRPr="00343AF3">
        <w:rPr>
          <w:rFonts w:ascii="Calibri" w:eastAsia="Times New Roman" w:hAnsi="Calibri" w:cs="Arial"/>
          <w:sz w:val="24"/>
          <w:szCs w:val="24"/>
          <w:lang w:eastAsia="fr-FR"/>
        </w:rPr>
        <w:t>)</w:t>
      </w:r>
      <w:r w:rsidRPr="00343AF3">
        <w:rPr>
          <w:rFonts w:ascii="Calibri" w:eastAsia="Times New Roman" w:hAnsi="Calibri" w:cs="Arial"/>
          <w:sz w:val="24"/>
          <w:szCs w:val="24"/>
          <w:lang w:eastAsia="fr-FR"/>
        </w:rPr>
        <w:t>Le</w:t>
      </w:r>
      <w:proofErr w:type="gramEnd"/>
      <w:r w:rsidRPr="00343AF3">
        <w:rPr>
          <w:rFonts w:ascii="Calibri" w:eastAsia="Times New Roman" w:hAnsi="Calibri" w:cs="Arial"/>
          <w:sz w:val="24"/>
          <w:szCs w:val="24"/>
          <w:lang w:eastAsia="fr-FR"/>
        </w:rPr>
        <w:t xml:space="preserve"> revenu réel mesure le pouvoir d'achat c'est-à-dire la quantité de bien et services qu'il permet d'acquérir compte tenu de l'évolution des prix. Le revenu réel se distingue du revenu nominal, exprimé en quantité de monnaie, qui ne tient pas compte de l'évolution de l'inflation. </w:t>
      </w:r>
    </w:p>
    <w:tbl>
      <w:tblPr>
        <w:tblW w:w="4500" w:type="pct"/>
        <w:jc w:val="center"/>
        <w:tblCellSpacing w:w="15" w:type="dxa"/>
        <w:shd w:val="clear" w:color="auto" w:fill="FFFFCC"/>
        <w:tblCellMar>
          <w:top w:w="30" w:type="dxa"/>
          <w:left w:w="30" w:type="dxa"/>
          <w:bottom w:w="30" w:type="dxa"/>
          <w:right w:w="30" w:type="dxa"/>
        </w:tblCellMar>
        <w:tblLook w:val="04A0" w:firstRow="1" w:lastRow="0" w:firstColumn="1" w:lastColumn="0" w:noHBand="0" w:noVBand="1"/>
      </w:tblPr>
      <w:tblGrid>
        <w:gridCol w:w="9527"/>
      </w:tblGrid>
      <w:tr w:rsidR="001A0C05" w:rsidRPr="00343AF3" w:rsidTr="001A0C05">
        <w:trPr>
          <w:tblCellSpacing w:w="15" w:type="dxa"/>
          <w:jc w:val="center"/>
        </w:trPr>
        <w:tc>
          <w:tcPr>
            <w:tcW w:w="0" w:type="auto"/>
            <w:shd w:val="clear" w:color="auto" w:fill="FFFFCC"/>
            <w:vAlign w:val="center"/>
            <w:hideMark/>
          </w:tcPr>
          <w:p w:rsidR="001A0C05" w:rsidRPr="000B56B4" w:rsidRDefault="001A0C05" w:rsidP="0071204F">
            <w:pPr>
              <w:spacing w:before="100" w:beforeAutospacing="1" w:after="100" w:afterAutospacing="1" w:line="240" w:lineRule="auto"/>
              <w:jc w:val="both"/>
              <w:rPr>
                <w:rFonts w:ascii="Calibri" w:eastAsia="Times New Roman" w:hAnsi="Calibri" w:cs="Arial"/>
                <w:color w:val="C00000"/>
                <w:sz w:val="24"/>
                <w:szCs w:val="24"/>
                <w:lang w:eastAsia="fr-FR"/>
              </w:rPr>
            </w:pPr>
            <w:r w:rsidRPr="000B56B4">
              <w:rPr>
                <w:rFonts w:ascii="Calibri" w:eastAsia="Times New Roman" w:hAnsi="Calibri" w:cs="Arial"/>
                <w:color w:val="C00000"/>
                <w:sz w:val="24"/>
                <w:szCs w:val="24"/>
                <w:lang w:eastAsia="fr-FR"/>
              </w:rPr>
              <w:t>ZOOM 1 : Illustration</w:t>
            </w:r>
          </w:p>
          <w:p w:rsidR="001A0C05" w:rsidRPr="00343AF3" w:rsidRDefault="001A0C05" w:rsidP="0071204F">
            <w:pPr>
              <w:spacing w:before="100" w:beforeAutospacing="1" w:after="100" w:afterAutospacing="1" w:line="240" w:lineRule="auto"/>
              <w:jc w:val="both"/>
              <w:rPr>
                <w:rFonts w:ascii="Calibri" w:eastAsia="Times New Roman" w:hAnsi="Calibri" w:cs="Arial"/>
                <w:sz w:val="24"/>
                <w:szCs w:val="24"/>
                <w:lang w:eastAsia="fr-FR"/>
              </w:rPr>
            </w:pPr>
            <w:r w:rsidRPr="00343AF3">
              <w:rPr>
                <w:rFonts w:ascii="Calibri" w:eastAsia="Times New Roman" w:hAnsi="Calibri" w:cs="Arial"/>
                <w:sz w:val="24"/>
                <w:szCs w:val="24"/>
                <w:lang w:eastAsia="fr-FR"/>
              </w:rPr>
              <w:t xml:space="preserve">Un salarié reçoit, en début d'année un salaire de 1000 € Au cours de l'année, il bénéficie d'une augmentation de 2 %. Son salaire nominal en fin d'année est de 1020 € </w:t>
            </w:r>
          </w:p>
          <w:p w:rsidR="00106331" w:rsidRPr="00343AF3" w:rsidRDefault="001A0C05" w:rsidP="0071204F">
            <w:pPr>
              <w:spacing w:before="100" w:beforeAutospacing="1" w:after="100" w:afterAutospacing="1" w:line="240" w:lineRule="auto"/>
              <w:jc w:val="both"/>
              <w:rPr>
                <w:rFonts w:ascii="Calibri" w:eastAsia="Times New Roman" w:hAnsi="Calibri" w:cs="Arial"/>
                <w:sz w:val="24"/>
                <w:szCs w:val="24"/>
                <w:lang w:eastAsia="fr-FR"/>
              </w:rPr>
            </w:pPr>
            <w:r w:rsidRPr="00343AF3">
              <w:rPr>
                <w:rFonts w:ascii="Calibri" w:eastAsia="Times New Roman" w:hAnsi="Calibri" w:cs="Arial"/>
                <w:sz w:val="24"/>
                <w:szCs w:val="24"/>
                <w:lang w:eastAsia="fr-FR"/>
              </w:rPr>
              <w:t>• S'il n'y a pas d'inflation au cours de l'année, le salaire nominal (et son évolution) correspond au salaire réel, soit une</w:t>
            </w:r>
            <w:r w:rsidR="00106331" w:rsidRPr="00343AF3">
              <w:rPr>
                <w:rFonts w:ascii="Calibri" w:eastAsia="Times New Roman" w:hAnsi="Calibri" w:cs="Arial"/>
                <w:sz w:val="24"/>
                <w:szCs w:val="24"/>
                <w:lang w:eastAsia="fr-FR"/>
              </w:rPr>
              <w:t xml:space="preserve"> augmentation de 2 %</w:t>
            </w:r>
          </w:p>
          <w:p w:rsidR="00106331" w:rsidRPr="00343AF3" w:rsidRDefault="001A0C05" w:rsidP="0071204F">
            <w:pPr>
              <w:spacing w:before="100" w:beforeAutospacing="1" w:after="100" w:afterAutospacing="1" w:line="240" w:lineRule="auto"/>
              <w:jc w:val="both"/>
              <w:rPr>
                <w:rFonts w:ascii="Calibri" w:eastAsia="Times New Roman" w:hAnsi="Calibri" w:cs="Arial"/>
                <w:sz w:val="24"/>
                <w:szCs w:val="24"/>
                <w:lang w:eastAsia="fr-FR"/>
              </w:rPr>
            </w:pPr>
            <w:r w:rsidRPr="00343AF3">
              <w:rPr>
                <w:rFonts w:ascii="Calibri" w:eastAsia="Times New Roman" w:hAnsi="Calibri" w:cs="Arial"/>
                <w:sz w:val="24"/>
                <w:szCs w:val="24"/>
                <w:lang w:eastAsia="fr-FR"/>
              </w:rPr>
              <w:t xml:space="preserve">• Si l'inflation est de 1,5 %, le salaire réel n'augmente donc que de 0,5 </w:t>
            </w:r>
            <w:r w:rsidR="004C4235" w:rsidRPr="00343AF3">
              <w:rPr>
                <w:rFonts w:ascii="Calibri" w:eastAsia="Times New Roman" w:hAnsi="Calibri" w:cs="Arial"/>
                <w:sz w:val="24"/>
                <w:szCs w:val="24"/>
                <w:lang w:eastAsia="fr-FR"/>
              </w:rPr>
              <w:t>points,</w:t>
            </w:r>
            <w:r w:rsidRPr="00343AF3">
              <w:rPr>
                <w:rFonts w:ascii="Calibri" w:eastAsia="Times New Roman" w:hAnsi="Calibri" w:cs="Arial"/>
                <w:sz w:val="24"/>
                <w:szCs w:val="24"/>
                <w:lang w:eastAsia="fr-FR"/>
              </w:rPr>
              <w:t xml:space="preserve"> soit 1005 € en </w:t>
            </w:r>
            <w:r w:rsidRPr="00343AF3">
              <w:rPr>
                <w:rFonts w:ascii="Calibri" w:eastAsia="Times New Roman" w:hAnsi="Calibri" w:cs="Arial"/>
                <w:sz w:val="24"/>
                <w:szCs w:val="24"/>
                <w:lang w:eastAsia="fr-FR"/>
              </w:rPr>
              <w:lastRenderedPageBreak/>
              <w:t>terme de pourvoir d'</w:t>
            </w:r>
            <w:r w:rsidR="00106331" w:rsidRPr="00343AF3">
              <w:rPr>
                <w:rFonts w:ascii="Calibri" w:eastAsia="Times New Roman" w:hAnsi="Calibri" w:cs="Arial"/>
                <w:sz w:val="24"/>
                <w:szCs w:val="24"/>
                <w:lang w:eastAsia="fr-FR"/>
              </w:rPr>
              <w:t>achat par rapport à l'an passé.</w:t>
            </w:r>
          </w:p>
          <w:p w:rsidR="001A0C05" w:rsidRPr="00343AF3" w:rsidRDefault="001A0C05" w:rsidP="0071204F">
            <w:pPr>
              <w:spacing w:before="100" w:beforeAutospacing="1" w:after="100" w:afterAutospacing="1" w:line="240" w:lineRule="auto"/>
              <w:jc w:val="both"/>
              <w:rPr>
                <w:rFonts w:ascii="Calibri" w:eastAsia="Times New Roman" w:hAnsi="Calibri" w:cs="Arial"/>
                <w:sz w:val="24"/>
                <w:szCs w:val="24"/>
                <w:lang w:eastAsia="fr-FR"/>
              </w:rPr>
            </w:pPr>
            <w:r w:rsidRPr="00343AF3">
              <w:rPr>
                <w:rFonts w:ascii="Calibri" w:eastAsia="Times New Roman" w:hAnsi="Calibri" w:cs="Arial"/>
                <w:sz w:val="24"/>
                <w:szCs w:val="24"/>
                <w:lang w:eastAsia="fr-FR"/>
              </w:rPr>
              <w:t>• Si l'inflation est de 3 %, le salaire réel diminue alors de 1 points, soit un pouvoir d'achat de 9</w:t>
            </w:r>
            <w:r w:rsidR="00B123FA" w:rsidRPr="00343AF3">
              <w:rPr>
                <w:rFonts w:ascii="Calibri" w:eastAsia="Times New Roman" w:hAnsi="Calibri" w:cs="Arial"/>
                <w:sz w:val="24"/>
                <w:szCs w:val="24"/>
                <w:lang w:eastAsia="fr-FR"/>
              </w:rPr>
              <w:t xml:space="preserve">90 € par rapport à l'an passé. </w:t>
            </w:r>
          </w:p>
        </w:tc>
      </w:tr>
    </w:tbl>
    <w:p w:rsidR="001A0C05" w:rsidRPr="00343AF3" w:rsidRDefault="001A0C05" w:rsidP="0071204F">
      <w:pPr>
        <w:spacing w:before="100" w:beforeAutospacing="1" w:after="100" w:afterAutospacing="1" w:line="240" w:lineRule="auto"/>
        <w:jc w:val="both"/>
        <w:rPr>
          <w:rFonts w:ascii="Calibri" w:eastAsia="Times New Roman" w:hAnsi="Calibri" w:cs="Arial"/>
          <w:sz w:val="24"/>
          <w:szCs w:val="24"/>
          <w:lang w:eastAsia="fr-FR"/>
        </w:rPr>
      </w:pPr>
      <w:r w:rsidRPr="00343AF3">
        <w:rPr>
          <w:rFonts w:ascii="Calibri" w:eastAsia="Times New Roman" w:hAnsi="Calibri" w:cs="Arial"/>
          <w:sz w:val="24"/>
          <w:szCs w:val="24"/>
          <w:lang w:eastAsia="fr-FR"/>
        </w:rPr>
        <w:lastRenderedPageBreak/>
        <w:t xml:space="preserve">Le revenu national (total des rémunérations reçues par tous les agents pour leur participation à la production) c'est-à-dire le total des revenus primaires, est égal au PIB, diminué du total des impôts liés à la production et augmenté des subventions reçues par les agents. </w:t>
      </w:r>
    </w:p>
    <w:p w:rsidR="001A0C05" w:rsidRPr="00343AF3" w:rsidRDefault="001A0C05" w:rsidP="0071204F">
      <w:pPr>
        <w:spacing w:before="100" w:beforeAutospacing="1" w:after="100" w:afterAutospacing="1" w:line="240" w:lineRule="auto"/>
        <w:jc w:val="both"/>
        <w:rPr>
          <w:rFonts w:ascii="Calibri" w:eastAsia="Times New Roman" w:hAnsi="Calibri" w:cs="Arial"/>
          <w:sz w:val="24"/>
          <w:szCs w:val="24"/>
          <w:lang w:eastAsia="fr-FR"/>
        </w:rPr>
      </w:pPr>
      <w:r w:rsidRPr="00343AF3">
        <w:rPr>
          <w:rFonts w:ascii="Calibri" w:eastAsia="Times New Roman" w:hAnsi="Calibri" w:cs="Arial"/>
          <w:sz w:val="24"/>
          <w:szCs w:val="24"/>
          <w:lang w:eastAsia="fr-FR"/>
        </w:rPr>
        <w:t xml:space="preserve">RN = PIB + Revenus versés au reste du monde – revenus reçus du reste du </w:t>
      </w:r>
      <w:proofErr w:type="gramStart"/>
      <w:r w:rsidRPr="00343AF3">
        <w:rPr>
          <w:rFonts w:ascii="Calibri" w:eastAsia="Times New Roman" w:hAnsi="Calibri" w:cs="Arial"/>
          <w:sz w:val="24"/>
          <w:szCs w:val="24"/>
          <w:lang w:eastAsia="fr-FR"/>
        </w:rPr>
        <w:t>monde</w:t>
      </w:r>
      <w:proofErr w:type="gramEnd"/>
      <w:r w:rsidR="00125A4B" w:rsidRPr="00343AF3">
        <w:rPr>
          <w:rFonts w:ascii="Calibri" w:eastAsia="Times New Roman" w:hAnsi="Calibri" w:cs="Arial"/>
          <w:sz w:val="24"/>
          <w:szCs w:val="24"/>
          <w:lang w:eastAsia="fr-FR"/>
        </w:rPr>
        <w:fldChar w:fldCharType="begin"/>
      </w:r>
      <w:r w:rsidRPr="00343AF3">
        <w:rPr>
          <w:rFonts w:ascii="Calibri" w:eastAsia="Times New Roman" w:hAnsi="Calibri" w:cs="Arial"/>
          <w:sz w:val="24"/>
          <w:szCs w:val="24"/>
          <w:lang w:eastAsia="fr-FR"/>
        </w:rPr>
        <w:instrText xml:space="preserve"> HYPERLINK "file:///C:\\Users\\Simon\\Documents\\CERPEG\\ressdiscipl\\economie\\ecogene\\conso_epargn_V2.htm" \l "N1" </w:instrText>
      </w:r>
      <w:r w:rsidR="00125A4B" w:rsidRPr="00343AF3">
        <w:rPr>
          <w:rFonts w:ascii="Calibri" w:eastAsia="Times New Roman" w:hAnsi="Calibri" w:cs="Arial"/>
          <w:sz w:val="24"/>
          <w:szCs w:val="24"/>
          <w:lang w:eastAsia="fr-FR"/>
        </w:rPr>
        <w:fldChar w:fldCharType="separate"/>
      </w:r>
      <w:r w:rsidRPr="00343AF3">
        <w:rPr>
          <w:rFonts w:ascii="Calibri" w:eastAsia="Times New Roman" w:hAnsi="Calibri" w:cs="Arial"/>
          <w:sz w:val="24"/>
          <w:szCs w:val="24"/>
          <w:lang w:eastAsia="fr-FR"/>
        </w:rPr>
        <w:t>[1]</w:t>
      </w:r>
      <w:r w:rsidR="00125A4B" w:rsidRPr="00343AF3">
        <w:rPr>
          <w:rFonts w:ascii="Calibri" w:eastAsia="Times New Roman" w:hAnsi="Calibri" w:cs="Arial"/>
          <w:sz w:val="24"/>
          <w:szCs w:val="24"/>
          <w:lang w:eastAsia="fr-FR"/>
        </w:rPr>
        <w:fldChar w:fldCharType="end"/>
      </w:r>
    </w:p>
    <w:p w:rsidR="001A0C05" w:rsidRPr="00343AF3" w:rsidRDefault="001A0C05" w:rsidP="0071204F">
      <w:pPr>
        <w:spacing w:before="100" w:beforeAutospacing="1" w:after="100" w:afterAutospacing="1" w:line="240" w:lineRule="auto"/>
        <w:jc w:val="both"/>
        <w:rPr>
          <w:rFonts w:ascii="Calibri" w:eastAsia="Times New Roman" w:hAnsi="Calibri" w:cs="Arial"/>
          <w:sz w:val="24"/>
          <w:szCs w:val="24"/>
          <w:lang w:eastAsia="fr-FR"/>
        </w:rPr>
      </w:pPr>
      <w:r w:rsidRPr="00343AF3">
        <w:rPr>
          <w:rFonts w:ascii="Calibri" w:eastAsia="Times New Roman" w:hAnsi="Calibri" w:cs="Arial"/>
          <w:sz w:val="24"/>
          <w:szCs w:val="24"/>
          <w:lang w:eastAsia="fr-FR"/>
        </w:rPr>
        <w:t xml:space="preserve">Une seconde approche du revenu national illustre son utilisation. En effet, le Revenu national est affecté à la consommation (C), l'épargne et l'investissement (I) Les impôts (G, ou dépenses publiques), et aux opérations avec les agents non résidents (exportations – importation soit X-M). </w:t>
      </w:r>
    </w:p>
    <w:p w:rsidR="001A0C05" w:rsidRPr="00343AF3" w:rsidRDefault="001A0C05" w:rsidP="0071204F">
      <w:pPr>
        <w:spacing w:before="100" w:beforeAutospacing="1" w:after="100" w:afterAutospacing="1" w:line="240" w:lineRule="auto"/>
        <w:jc w:val="both"/>
        <w:rPr>
          <w:rFonts w:ascii="Calibri" w:eastAsia="Times New Roman" w:hAnsi="Calibri" w:cs="Arial"/>
          <w:sz w:val="24"/>
          <w:szCs w:val="24"/>
          <w:lang w:eastAsia="fr-FR"/>
        </w:rPr>
      </w:pPr>
      <w:r w:rsidRPr="00343AF3">
        <w:rPr>
          <w:rFonts w:ascii="Calibri" w:eastAsia="Times New Roman" w:hAnsi="Calibri" w:cs="Arial"/>
          <w:sz w:val="24"/>
          <w:szCs w:val="24"/>
          <w:lang w:eastAsia="fr-FR"/>
        </w:rPr>
        <w:t xml:space="preserve">RN = C+ I + G + (X-M) </w:t>
      </w:r>
    </w:p>
    <w:p w:rsidR="001A0C05" w:rsidRPr="00343AF3" w:rsidRDefault="001A0C05" w:rsidP="001A0C05">
      <w:pPr>
        <w:spacing w:before="100" w:beforeAutospacing="1" w:afterAutospacing="1" w:line="240" w:lineRule="auto"/>
        <w:rPr>
          <w:rFonts w:ascii="Calibri" w:eastAsia="Times New Roman" w:hAnsi="Calibri" w:cs="Arial"/>
          <w:sz w:val="24"/>
          <w:szCs w:val="24"/>
          <w:lang w:eastAsia="fr-FR"/>
        </w:rPr>
      </w:pPr>
      <w:r w:rsidRPr="00343AF3">
        <w:rPr>
          <w:rFonts w:ascii="Calibri" w:eastAsia="Times New Roman" w:hAnsi="Calibri" w:cs="Arial"/>
          <w:sz w:val="24"/>
          <w:szCs w:val="24"/>
          <w:lang w:eastAsia="fr-FR"/>
        </w:rPr>
        <w:t xml:space="preserve">La consommation des ménages représente l'utilisation de bien ou de services marchands ou non marchands destinés à satisfaire des besoins. Les biens marchands sont consommés en fonction du revenu disponible, c'est-à-dire en fonction du pouvoir d'achat du salaire le plus souvent) compte tenu de l'indice des prix, déterminants ainsi le niveau de vie. </w:t>
      </w:r>
    </w:p>
    <w:tbl>
      <w:tblPr>
        <w:tblW w:w="4500" w:type="pct"/>
        <w:jc w:val="center"/>
        <w:tblCellSpacing w:w="15" w:type="dxa"/>
        <w:shd w:val="clear" w:color="auto" w:fill="FFFFCC"/>
        <w:tblCellMar>
          <w:top w:w="30" w:type="dxa"/>
          <w:left w:w="30" w:type="dxa"/>
          <w:bottom w:w="30" w:type="dxa"/>
          <w:right w:w="30" w:type="dxa"/>
        </w:tblCellMar>
        <w:tblLook w:val="04A0" w:firstRow="1" w:lastRow="0" w:firstColumn="1" w:lastColumn="0" w:noHBand="0" w:noVBand="1"/>
      </w:tblPr>
      <w:tblGrid>
        <w:gridCol w:w="9527"/>
      </w:tblGrid>
      <w:tr w:rsidR="001A0C05" w:rsidRPr="00343AF3" w:rsidTr="001A0C05">
        <w:trPr>
          <w:tblCellSpacing w:w="15" w:type="dxa"/>
          <w:jc w:val="center"/>
        </w:trPr>
        <w:tc>
          <w:tcPr>
            <w:tcW w:w="0" w:type="auto"/>
            <w:shd w:val="clear" w:color="auto" w:fill="FFFFCC"/>
            <w:vAlign w:val="center"/>
            <w:hideMark/>
          </w:tcPr>
          <w:p w:rsidR="001A0C05" w:rsidRPr="00B41A82" w:rsidRDefault="001A0C05" w:rsidP="001A0C05">
            <w:pPr>
              <w:spacing w:before="100" w:beforeAutospacing="1" w:after="100" w:afterAutospacing="1" w:line="240" w:lineRule="auto"/>
              <w:rPr>
                <w:rFonts w:ascii="Calibri" w:eastAsia="Times New Roman" w:hAnsi="Calibri" w:cs="Arial"/>
                <w:color w:val="C00000"/>
                <w:sz w:val="24"/>
                <w:szCs w:val="24"/>
                <w:lang w:eastAsia="fr-FR"/>
              </w:rPr>
            </w:pPr>
            <w:r w:rsidRPr="000B56B4">
              <w:rPr>
                <w:rFonts w:ascii="Calibri" w:eastAsia="Times New Roman" w:hAnsi="Calibri" w:cs="Arial"/>
                <w:color w:val="C00000"/>
                <w:sz w:val="24"/>
                <w:szCs w:val="24"/>
                <w:lang w:eastAsia="fr-FR"/>
              </w:rPr>
              <w:t>ZOOM 2 : Des m</w:t>
            </w:r>
            <w:r w:rsidR="00B41A82">
              <w:rPr>
                <w:rFonts w:ascii="Calibri" w:eastAsia="Times New Roman" w:hAnsi="Calibri" w:cs="Arial"/>
                <w:color w:val="C00000"/>
                <w:sz w:val="24"/>
                <w:szCs w:val="24"/>
                <w:lang w:eastAsia="fr-FR"/>
              </w:rPr>
              <w:t xml:space="preserve">ots pour le dire, le lexique de </w:t>
            </w:r>
            <w:r w:rsidRPr="000B56B4">
              <w:rPr>
                <w:rFonts w:ascii="Calibri" w:eastAsia="Times New Roman" w:hAnsi="Calibri" w:cs="Arial"/>
                <w:color w:val="C00000"/>
                <w:sz w:val="24"/>
                <w:szCs w:val="24"/>
                <w:lang w:eastAsia="fr-FR"/>
              </w:rPr>
              <w:t>l'Insee</w:t>
            </w:r>
            <w:r w:rsidR="00B41A82">
              <w:rPr>
                <w:rFonts w:ascii="Calibri" w:eastAsia="Times New Roman" w:hAnsi="Calibri" w:cs="Arial"/>
                <w:color w:val="C00000"/>
                <w:sz w:val="24"/>
                <w:szCs w:val="24"/>
                <w:lang w:eastAsia="fr-FR"/>
              </w:rPr>
              <w:t xml:space="preserve"> </w:t>
            </w:r>
            <w:hyperlink r:id="rId11" w:history="1">
              <w:r w:rsidRPr="00B41A82">
                <w:rPr>
                  <w:rFonts w:ascii="Calibri" w:eastAsia="Times New Roman" w:hAnsi="Calibri" w:cs="Arial"/>
                  <w:sz w:val="24"/>
                  <w:szCs w:val="24"/>
                  <w:u w:val="single"/>
                  <w:lang w:eastAsia="fr-FR"/>
                </w:rPr>
                <w:t xml:space="preserve">http://www.insee.fr/fr/methodes/default.asp?page=definitions/liste-definitions.htm </w:t>
              </w:r>
            </w:hyperlink>
          </w:p>
          <w:p w:rsidR="001A0C05" w:rsidRPr="00343AF3" w:rsidRDefault="001A0C05" w:rsidP="00347FCF">
            <w:pPr>
              <w:spacing w:before="100" w:beforeAutospacing="1" w:after="100" w:afterAutospacing="1" w:line="240" w:lineRule="auto"/>
              <w:rPr>
                <w:rFonts w:ascii="Calibri" w:eastAsia="Times New Roman" w:hAnsi="Calibri" w:cs="Arial"/>
                <w:sz w:val="24"/>
                <w:szCs w:val="24"/>
                <w:lang w:eastAsia="fr-FR"/>
              </w:rPr>
            </w:pPr>
            <w:r w:rsidRPr="000B56B4">
              <w:rPr>
                <w:rFonts w:ascii="Calibri" w:eastAsia="Times New Roman" w:hAnsi="Calibri" w:cs="Arial"/>
                <w:b/>
                <w:sz w:val="24"/>
                <w:szCs w:val="24"/>
                <w:lang w:eastAsia="fr-FR"/>
              </w:rPr>
              <w:t>Le revenu disponible</w:t>
            </w:r>
            <w:r w:rsidRPr="00343AF3">
              <w:rPr>
                <w:rFonts w:ascii="Calibri" w:eastAsia="Times New Roman" w:hAnsi="Calibri" w:cs="Arial"/>
                <w:sz w:val="24"/>
                <w:szCs w:val="24"/>
                <w:lang w:eastAsia="fr-FR"/>
              </w:rPr>
              <w:br/>
              <w:t xml:space="preserve">Le revenu disponible d'un ménage comprend les revenus d'activité, les revenus du patrimoine, les transferts en provenance d'autres ménages et les prestations sociales (y compris les pensions de retraite et les indemnités de chômage), nets des impôts directs. Quatre impôts directs sont généralement pris en compte : l'impôt sur le revenu, la taxe d'habitation et les contributions sociales généralisées (CSG) et contribution à la réduction de la dette sociale (CRDS). </w:t>
            </w:r>
          </w:p>
          <w:p w:rsidR="001A0C05" w:rsidRPr="00343AF3" w:rsidRDefault="001A0C05" w:rsidP="001A0C05">
            <w:pPr>
              <w:spacing w:before="100" w:beforeAutospacing="1" w:after="100" w:afterAutospacing="1" w:line="240" w:lineRule="auto"/>
              <w:rPr>
                <w:rFonts w:ascii="Calibri" w:eastAsia="Times New Roman" w:hAnsi="Calibri" w:cs="Arial"/>
                <w:sz w:val="24"/>
                <w:szCs w:val="24"/>
                <w:lang w:eastAsia="fr-FR"/>
              </w:rPr>
            </w:pPr>
            <w:r w:rsidRPr="000B56B4">
              <w:rPr>
                <w:rFonts w:ascii="Calibri" w:eastAsia="Times New Roman" w:hAnsi="Calibri" w:cs="Arial"/>
                <w:b/>
                <w:sz w:val="24"/>
                <w:szCs w:val="24"/>
                <w:lang w:eastAsia="fr-FR"/>
              </w:rPr>
              <w:t>Le pouvoir d'achat du salaire</w:t>
            </w:r>
            <w:r w:rsidRPr="00343AF3">
              <w:rPr>
                <w:rFonts w:ascii="Calibri" w:eastAsia="Times New Roman" w:hAnsi="Calibri" w:cs="Arial"/>
                <w:sz w:val="24"/>
                <w:szCs w:val="24"/>
                <w:lang w:eastAsia="fr-FR"/>
              </w:rPr>
              <w:br/>
              <w:t xml:space="preserve">Le pouvoir d'achat du salaire est la quantité de biens et de services que l'on peut acheter avec une unité de salaire. Son évolution est liée à celles des prix et des salaires. C'est ainsi que, si les prix augmentent dans un environnement où les salaires sont constants, le pouvoir d'achat diminue alors que si la hausse des salaires est supérieure à celle des prix le pouvoir d'achat pourra augmenter. La notion ici retenue est le salaire mais le raisonnement s'applique à l'ensemble des ressources (travail, capital, prestations familiales et sociales...). </w:t>
            </w:r>
          </w:p>
          <w:p w:rsidR="001A0C05" w:rsidRPr="00343AF3" w:rsidRDefault="001A0C05" w:rsidP="001A0C05">
            <w:pPr>
              <w:spacing w:before="100" w:beforeAutospacing="1" w:after="100" w:afterAutospacing="1" w:line="240" w:lineRule="auto"/>
              <w:rPr>
                <w:rFonts w:ascii="Calibri" w:eastAsia="Times New Roman" w:hAnsi="Calibri" w:cs="Arial"/>
                <w:sz w:val="24"/>
                <w:szCs w:val="24"/>
                <w:lang w:eastAsia="fr-FR"/>
              </w:rPr>
            </w:pPr>
            <w:r w:rsidRPr="000B56B4">
              <w:rPr>
                <w:rFonts w:ascii="Calibri" w:eastAsia="Times New Roman" w:hAnsi="Calibri" w:cs="Arial"/>
                <w:b/>
                <w:sz w:val="24"/>
                <w:szCs w:val="24"/>
                <w:lang w:eastAsia="fr-FR"/>
              </w:rPr>
              <w:t>Le pouvoir d'achat de la monnaie</w:t>
            </w:r>
            <w:r w:rsidRPr="00343AF3">
              <w:rPr>
                <w:rFonts w:ascii="Calibri" w:eastAsia="Times New Roman" w:hAnsi="Calibri" w:cs="Arial"/>
                <w:sz w:val="24"/>
                <w:szCs w:val="24"/>
                <w:lang w:eastAsia="fr-FR"/>
              </w:rPr>
              <w:br/>
              <w:t xml:space="preserve">Le pouvoir d'achat de la monnaie est la quantité de biens et de services qu'il est possible de se procurer avec une unité monétaire. Du fait de la hausse des prix, le pouvoir d'achat de la monnaie se déprécie au cours du temps. À l'extérieur du pays il diminue en cas de dépréciation et de dévaluation et augmente dans les cas inverses. Pour observer l'évolution réelle de l'activité économique (production, consommation,...) il est donc nécessaire de tenir compte des effets de l'inflation. On distingue ainsi les évolutions à prix courants (sans correction de l'effet de l'inflation) des évolutions à prix constants (avec correction de l'effet de l'inflation). Dans le premier cas il s'agit d'une évolution en valeur et dans le second d'une évolution en volume. Pour </w:t>
            </w:r>
            <w:r w:rsidRPr="00343AF3">
              <w:rPr>
                <w:rFonts w:ascii="Calibri" w:eastAsia="Times New Roman" w:hAnsi="Calibri" w:cs="Arial"/>
                <w:sz w:val="24"/>
                <w:szCs w:val="24"/>
                <w:lang w:eastAsia="fr-FR"/>
              </w:rPr>
              <w:lastRenderedPageBreak/>
              <w:t xml:space="preserve">approximer l'inflation (ou la déflation), on utilise en général l'indice des prix à la consommation (IPC). </w:t>
            </w:r>
          </w:p>
          <w:p w:rsidR="001A0C05" w:rsidRPr="00343AF3" w:rsidRDefault="001A0C05" w:rsidP="001A0C05">
            <w:pPr>
              <w:spacing w:before="100" w:beforeAutospacing="1" w:after="100" w:afterAutospacing="1" w:line="240" w:lineRule="auto"/>
              <w:rPr>
                <w:rFonts w:ascii="Calibri" w:eastAsia="Times New Roman" w:hAnsi="Calibri" w:cs="Arial"/>
                <w:sz w:val="24"/>
                <w:szCs w:val="24"/>
                <w:lang w:eastAsia="fr-FR"/>
              </w:rPr>
            </w:pPr>
            <w:r w:rsidRPr="000B56B4">
              <w:rPr>
                <w:rFonts w:ascii="Calibri" w:eastAsia="Times New Roman" w:hAnsi="Calibri" w:cs="Arial"/>
                <w:b/>
                <w:sz w:val="24"/>
                <w:szCs w:val="24"/>
                <w:lang w:eastAsia="fr-FR"/>
              </w:rPr>
              <w:t>Indice des prix</w:t>
            </w:r>
            <w:r w:rsidRPr="00343AF3">
              <w:rPr>
                <w:rFonts w:ascii="Calibri" w:eastAsia="Times New Roman" w:hAnsi="Calibri" w:cs="Arial"/>
                <w:sz w:val="24"/>
                <w:szCs w:val="24"/>
                <w:lang w:eastAsia="fr-FR"/>
              </w:rPr>
              <w:br/>
              <w:t xml:space="preserve">L'indice des prix à la consommation (IPC) est un instrument de mesure de l'inflation. Il permet d'estimer, entre deux périodes données, la variation moyenne des prix des produits consommés par les ménages. C'est une mesure synthétique de l'évolution de prix des produits, à qualité constante. Il est publié chaque mois au Journal Officiel. L'indice des prix hors tabac sert à indexer de nombreux contrats privés, des pensions alimentaires, des rentes viagères et aussi à revaloriser le SMIC. L'indice retenu pour le SMIC est celui des "ménages urbains dont le chef est ouvrier ou employé, hors tabac". </w:t>
            </w:r>
          </w:p>
          <w:p w:rsidR="001A0C05" w:rsidRPr="00343AF3" w:rsidRDefault="001A0C05" w:rsidP="001A0C05">
            <w:pPr>
              <w:spacing w:before="100" w:beforeAutospacing="1" w:after="100" w:afterAutospacing="1" w:line="240" w:lineRule="auto"/>
              <w:rPr>
                <w:rFonts w:ascii="Calibri" w:eastAsia="Times New Roman" w:hAnsi="Calibri" w:cs="Arial"/>
                <w:sz w:val="24"/>
                <w:szCs w:val="24"/>
                <w:lang w:eastAsia="fr-FR"/>
              </w:rPr>
            </w:pPr>
            <w:r w:rsidRPr="000B56B4">
              <w:rPr>
                <w:rFonts w:ascii="Calibri" w:eastAsia="Times New Roman" w:hAnsi="Calibri" w:cs="Arial"/>
                <w:b/>
                <w:sz w:val="24"/>
                <w:szCs w:val="24"/>
                <w:lang w:eastAsia="fr-FR"/>
              </w:rPr>
              <w:t>Le niveau de vie</w:t>
            </w:r>
            <w:r w:rsidRPr="00343AF3">
              <w:rPr>
                <w:rFonts w:ascii="Calibri" w:eastAsia="Times New Roman" w:hAnsi="Calibri" w:cs="Arial"/>
                <w:sz w:val="24"/>
                <w:szCs w:val="24"/>
                <w:lang w:eastAsia="fr-FR"/>
              </w:rPr>
              <w:br/>
              <w:t>Le niveau de vie est égal au revenu disponible du ménage divisé par le nombre d'unités de consommation (</w:t>
            </w:r>
            <w:proofErr w:type="spellStart"/>
            <w:r w:rsidRPr="00343AF3">
              <w:rPr>
                <w:rFonts w:ascii="Calibri" w:eastAsia="Times New Roman" w:hAnsi="Calibri" w:cs="Arial"/>
                <w:sz w:val="24"/>
                <w:szCs w:val="24"/>
                <w:lang w:eastAsia="fr-FR"/>
              </w:rPr>
              <w:t>uc</w:t>
            </w:r>
            <w:proofErr w:type="spellEnd"/>
            <w:r w:rsidRPr="00343AF3">
              <w:rPr>
                <w:rFonts w:ascii="Calibri" w:eastAsia="Times New Roman" w:hAnsi="Calibri" w:cs="Arial"/>
                <w:sz w:val="24"/>
                <w:szCs w:val="24"/>
                <w:lang w:eastAsia="fr-FR"/>
              </w:rPr>
              <w:t xml:space="preserve">). Le niveau de vie est donc le même pour tous les individus d'un même ménage. </w:t>
            </w:r>
          </w:p>
        </w:tc>
      </w:tr>
    </w:tbl>
    <w:p w:rsidR="005F6C4E" w:rsidRDefault="005F6C4E">
      <w:pPr>
        <w:rPr>
          <w:rFonts w:ascii="Arial" w:eastAsia="Times New Roman" w:hAnsi="Arial" w:cs="Times New Roman"/>
          <w:b/>
          <w:color w:val="CC0000"/>
          <w:sz w:val="26"/>
          <w:szCs w:val="24"/>
          <w:lang w:eastAsia="fr-FR"/>
        </w:rPr>
      </w:pPr>
      <w:r>
        <w:rPr>
          <w:rFonts w:ascii="Arial" w:eastAsia="Times New Roman" w:hAnsi="Arial" w:cs="Times New Roman"/>
          <w:b/>
          <w:color w:val="CC0000"/>
          <w:sz w:val="26"/>
          <w:szCs w:val="24"/>
          <w:lang w:eastAsia="fr-FR"/>
        </w:rPr>
        <w:lastRenderedPageBreak/>
        <w:br w:type="page"/>
      </w:r>
    </w:p>
    <w:p w:rsidR="001A0C05" w:rsidRPr="00B933BB" w:rsidRDefault="005F6C4E" w:rsidP="001A0C05">
      <w:pPr>
        <w:spacing w:before="100" w:beforeAutospacing="1" w:after="100" w:afterAutospacing="1" w:line="240" w:lineRule="auto"/>
        <w:rPr>
          <w:rFonts w:ascii="Arial" w:eastAsia="Times New Roman" w:hAnsi="Arial" w:cs="Times New Roman"/>
          <w:b/>
          <w:color w:val="CC0000"/>
          <w:sz w:val="26"/>
          <w:szCs w:val="24"/>
          <w:lang w:eastAsia="fr-FR"/>
        </w:rPr>
      </w:pPr>
      <w:r>
        <w:rPr>
          <w:rFonts w:ascii="Arial" w:eastAsia="Times New Roman" w:hAnsi="Arial" w:cs="Times New Roman"/>
          <w:b/>
          <w:color w:val="CC0000"/>
          <w:sz w:val="26"/>
          <w:szCs w:val="24"/>
          <w:lang w:eastAsia="fr-FR"/>
        </w:rPr>
        <w:lastRenderedPageBreak/>
        <w:t xml:space="preserve">II - </w:t>
      </w:r>
      <w:r w:rsidR="001A0C05" w:rsidRPr="00B933BB">
        <w:rPr>
          <w:rFonts w:ascii="Arial" w:eastAsia="Times New Roman" w:hAnsi="Arial" w:cs="Times New Roman"/>
          <w:b/>
          <w:color w:val="CC0000"/>
          <w:sz w:val="26"/>
          <w:szCs w:val="24"/>
          <w:lang w:eastAsia="fr-FR"/>
        </w:rPr>
        <w:t xml:space="preserve">Le revenu des ménages </w:t>
      </w:r>
    </w:p>
    <w:p w:rsidR="001A0C05" w:rsidRPr="00343AF3" w:rsidRDefault="001A0C05" w:rsidP="001A0C05">
      <w:pPr>
        <w:spacing w:before="100" w:beforeAutospacing="1" w:after="100" w:afterAutospacing="1" w:line="240" w:lineRule="auto"/>
        <w:rPr>
          <w:rFonts w:ascii="Calibri" w:eastAsia="Times New Roman" w:hAnsi="Calibri" w:cs="Arial"/>
          <w:sz w:val="24"/>
          <w:szCs w:val="24"/>
          <w:lang w:eastAsia="fr-FR"/>
        </w:rPr>
      </w:pPr>
      <w:r w:rsidRPr="00343AF3">
        <w:rPr>
          <w:rFonts w:ascii="Calibri" w:eastAsia="Times New Roman" w:hAnsi="Calibri" w:cs="Arial"/>
          <w:sz w:val="24"/>
          <w:szCs w:val="24"/>
          <w:lang w:eastAsia="fr-FR"/>
        </w:rPr>
        <w:t xml:space="preserve">Le menu des ménages est constitué des revenus primaires (ou directs) et des revenus secondaires (ou indirects, ou revenus de transfert). </w:t>
      </w:r>
    </w:p>
    <w:p w:rsidR="001A0C05" w:rsidRPr="00343AF3" w:rsidRDefault="001A0C05" w:rsidP="001A0C05">
      <w:pPr>
        <w:spacing w:before="100" w:beforeAutospacing="1" w:after="100" w:afterAutospacing="1" w:line="240" w:lineRule="auto"/>
        <w:rPr>
          <w:rFonts w:ascii="Calibri" w:eastAsia="Times New Roman" w:hAnsi="Calibri" w:cs="Arial"/>
          <w:sz w:val="24"/>
          <w:szCs w:val="24"/>
          <w:lang w:eastAsia="fr-FR"/>
        </w:rPr>
      </w:pPr>
      <w:r w:rsidRPr="00343AF3">
        <w:rPr>
          <w:rFonts w:ascii="Calibri" w:eastAsia="Times New Roman" w:hAnsi="Calibri" w:cs="Arial"/>
          <w:sz w:val="24"/>
          <w:szCs w:val="24"/>
          <w:lang w:eastAsia="fr-FR"/>
        </w:rPr>
        <w:t xml:space="preserve">Les revenus directs contiennent : </w:t>
      </w:r>
    </w:p>
    <w:p w:rsidR="001A0C05" w:rsidRPr="00343AF3" w:rsidRDefault="001A0C05" w:rsidP="001A0C05">
      <w:pPr>
        <w:numPr>
          <w:ilvl w:val="0"/>
          <w:numId w:val="1"/>
        </w:numPr>
        <w:spacing w:before="100" w:beforeAutospacing="1" w:after="100" w:afterAutospacing="1" w:line="240" w:lineRule="auto"/>
        <w:ind w:left="1440"/>
        <w:rPr>
          <w:rFonts w:ascii="Calibri" w:eastAsia="Times New Roman" w:hAnsi="Calibri" w:cs="Arial"/>
          <w:sz w:val="24"/>
          <w:szCs w:val="24"/>
          <w:lang w:eastAsia="fr-FR"/>
        </w:rPr>
      </w:pPr>
      <w:r w:rsidRPr="00343AF3">
        <w:rPr>
          <w:rFonts w:ascii="Calibri" w:eastAsia="Times New Roman" w:hAnsi="Calibri" w:cs="Arial"/>
          <w:sz w:val="24"/>
          <w:szCs w:val="24"/>
          <w:lang w:eastAsia="fr-FR"/>
        </w:rPr>
        <w:t xml:space="preserve">Les revenus du travail : salaires, cachets, honoraires, etc... </w:t>
      </w:r>
    </w:p>
    <w:p w:rsidR="001A0C05" w:rsidRPr="00343AF3" w:rsidRDefault="001A0C05" w:rsidP="001A0C05">
      <w:pPr>
        <w:numPr>
          <w:ilvl w:val="0"/>
          <w:numId w:val="1"/>
        </w:numPr>
        <w:spacing w:before="100" w:beforeAutospacing="1" w:after="100" w:afterAutospacing="1" w:line="240" w:lineRule="auto"/>
        <w:ind w:left="1440"/>
        <w:rPr>
          <w:rFonts w:ascii="Calibri" w:eastAsia="Times New Roman" w:hAnsi="Calibri" w:cs="Arial"/>
          <w:sz w:val="24"/>
          <w:szCs w:val="24"/>
          <w:lang w:eastAsia="fr-FR"/>
        </w:rPr>
      </w:pPr>
      <w:r w:rsidRPr="00343AF3">
        <w:rPr>
          <w:rFonts w:ascii="Calibri" w:eastAsia="Times New Roman" w:hAnsi="Calibri" w:cs="Arial"/>
          <w:sz w:val="24"/>
          <w:szCs w:val="24"/>
          <w:lang w:eastAsia="fr-FR"/>
        </w:rPr>
        <w:t xml:space="preserve">Les revenus du capital, c'est-à-dire de l'épargne placée : intérêts et dividendes </w:t>
      </w:r>
    </w:p>
    <w:p w:rsidR="001A0C05" w:rsidRPr="00343AF3" w:rsidRDefault="001A0C05" w:rsidP="001A0C05">
      <w:pPr>
        <w:numPr>
          <w:ilvl w:val="0"/>
          <w:numId w:val="1"/>
        </w:numPr>
        <w:spacing w:before="100" w:beforeAutospacing="1" w:after="100" w:afterAutospacing="1" w:line="240" w:lineRule="auto"/>
        <w:ind w:left="1440"/>
        <w:rPr>
          <w:rFonts w:ascii="Calibri" w:eastAsia="Times New Roman" w:hAnsi="Calibri" w:cs="Arial"/>
          <w:sz w:val="24"/>
          <w:szCs w:val="24"/>
          <w:lang w:eastAsia="fr-FR"/>
        </w:rPr>
      </w:pPr>
      <w:r w:rsidRPr="00343AF3">
        <w:rPr>
          <w:rFonts w:ascii="Calibri" w:eastAsia="Times New Roman" w:hAnsi="Calibri" w:cs="Arial"/>
          <w:sz w:val="24"/>
          <w:szCs w:val="24"/>
          <w:lang w:eastAsia="fr-FR"/>
        </w:rPr>
        <w:t xml:space="preserve">Les revenus mixtes, dits revenus de la propriété : loyer, droits d'auteur, revenus des brevets … </w:t>
      </w:r>
    </w:p>
    <w:p w:rsidR="001A0C05" w:rsidRPr="00343AF3" w:rsidRDefault="001A0C05" w:rsidP="001A0C05">
      <w:pPr>
        <w:spacing w:before="100" w:beforeAutospacing="1" w:after="100" w:afterAutospacing="1" w:line="240" w:lineRule="auto"/>
        <w:rPr>
          <w:rFonts w:ascii="Calibri" w:eastAsia="Times New Roman" w:hAnsi="Calibri" w:cs="Arial"/>
          <w:sz w:val="24"/>
          <w:szCs w:val="24"/>
          <w:lang w:eastAsia="fr-FR"/>
        </w:rPr>
      </w:pPr>
      <w:r w:rsidRPr="00343AF3">
        <w:rPr>
          <w:rFonts w:ascii="Calibri" w:eastAsia="Times New Roman" w:hAnsi="Calibri" w:cs="Arial"/>
          <w:sz w:val="24"/>
          <w:szCs w:val="24"/>
          <w:lang w:eastAsia="fr-FR"/>
        </w:rPr>
        <w:t xml:space="preserve">Les revenus indirects comprennent : </w:t>
      </w:r>
    </w:p>
    <w:p w:rsidR="001A0C05" w:rsidRPr="00343AF3" w:rsidRDefault="001A0C05" w:rsidP="001A0C05">
      <w:pPr>
        <w:numPr>
          <w:ilvl w:val="0"/>
          <w:numId w:val="2"/>
        </w:numPr>
        <w:spacing w:before="100" w:beforeAutospacing="1" w:after="100" w:afterAutospacing="1" w:line="240" w:lineRule="auto"/>
        <w:ind w:left="1440"/>
        <w:rPr>
          <w:rFonts w:ascii="Calibri" w:eastAsia="Times New Roman" w:hAnsi="Calibri" w:cs="Arial"/>
          <w:sz w:val="24"/>
          <w:szCs w:val="24"/>
          <w:lang w:eastAsia="fr-FR"/>
        </w:rPr>
      </w:pPr>
      <w:r w:rsidRPr="00343AF3">
        <w:rPr>
          <w:rFonts w:ascii="Calibri" w:eastAsia="Times New Roman" w:hAnsi="Calibri" w:cs="Arial"/>
          <w:sz w:val="24"/>
          <w:szCs w:val="24"/>
          <w:lang w:eastAsia="fr-FR"/>
        </w:rPr>
        <w:t xml:space="preserve">Les revenus reçus en échange d'une contrepartie (cotisation préalable) généralement financée au titre de la solidarité professionnelle entre actifs : retraites, allocations chômage, indemnité maladies… </w:t>
      </w:r>
    </w:p>
    <w:p w:rsidR="001A0C05" w:rsidRPr="00343AF3" w:rsidRDefault="001A0C05" w:rsidP="001A0C05">
      <w:pPr>
        <w:numPr>
          <w:ilvl w:val="0"/>
          <w:numId w:val="2"/>
        </w:numPr>
        <w:spacing w:before="100" w:beforeAutospacing="1" w:after="100" w:afterAutospacing="1" w:line="240" w:lineRule="auto"/>
        <w:ind w:left="1440"/>
        <w:rPr>
          <w:rFonts w:ascii="Calibri" w:eastAsia="Times New Roman" w:hAnsi="Calibri" w:cs="Arial"/>
          <w:sz w:val="24"/>
          <w:szCs w:val="24"/>
          <w:lang w:eastAsia="fr-FR"/>
        </w:rPr>
      </w:pPr>
      <w:r w:rsidRPr="00343AF3">
        <w:rPr>
          <w:rFonts w:ascii="Calibri" w:eastAsia="Times New Roman" w:hAnsi="Calibri" w:cs="Arial"/>
          <w:sz w:val="24"/>
          <w:szCs w:val="24"/>
          <w:lang w:eastAsia="fr-FR"/>
        </w:rPr>
        <w:t xml:space="preserve">Les revenus sans contrepartie préalable, généralement financée par l'impôt au titre de la solidarité nationale entre citoyens : RMI, bourses scolaires. </w:t>
      </w:r>
    </w:p>
    <w:p w:rsidR="00B02643" w:rsidRPr="005F6C4E" w:rsidRDefault="00E32815" w:rsidP="005F6C4E">
      <w:pPr>
        <w:rPr>
          <w:rFonts w:ascii="Calibri" w:eastAsia="Times New Roman" w:hAnsi="Calibri" w:cs="Arial"/>
          <w:color w:val="C00000"/>
          <w:sz w:val="24"/>
          <w:szCs w:val="24"/>
          <w:lang w:eastAsia="fr-FR"/>
        </w:rPr>
      </w:pPr>
      <w:r w:rsidRPr="005F6C4E">
        <w:rPr>
          <w:rFonts w:ascii="Calibri" w:eastAsia="Times New Roman" w:hAnsi="Calibri" w:cs="Arial"/>
          <w:color w:val="C00000"/>
          <w:sz w:val="24"/>
          <w:szCs w:val="24"/>
          <w:lang w:eastAsia="fr-FR"/>
        </w:rPr>
        <w:t>Figure 1 : revenu disponible des ménages</w:t>
      </w:r>
    </w:p>
    <w:tbl>
      <w:tblPr>
        <w:tblW w:w="7915" w:type="dxa"/>
        <w:tblInd w:w="1488" w:type="dxa"/>
        <w:tblCellMar>
          <w:left w:w="70" w:type="dxa"/>
          <w:right w:w="70" w:type="dxa"/>
        </w:tblCellMar>
        <w:tblLook w:val="04A0" w:firstRow="1" w:lastRow="0" w:firstColumn="1" w:lastColumn="0" w:noHBand="0" w:noVBand="1"/>
      </w:tblPr>
      <w:tblGrid>
        <w:gridCol w:w="910"/>
        <w:gridCol w:w="1501"/>
        <w:gridCol w:w="1390"/>
        <w:gridCol w:w="4114"/>
      </w:tblGrid>
      <w:tr w:rsidR="00B02643" w:rsidRPr="00343AF3" w:rsidTr="005F6C4E">
        <w:trPr>
          <w:trHeight w:val="255"/>
        </w:trPr>
        <w:tc>
          <w:tcPr>
            <w:tcW w:w="3801" w:type="dxa"/>
            <w:gridSpan w:val="3"/>
            <w:tcBorders>
              <w:top w:val="nil"/>
              <w:left w:val="nil"/>
              <w:bottom w:val="nil"/>
              <w:right w:val="nil"/>
            </w:tcBorders>
            <w:shd w:val="clear" w:color="auto" w:fill="auto"/>
            <w:noWrap/>
            <w:vAlign w:val="bottom"/>
            <w:hideMark/>
          </w:tcPr>
          <w:p w:rsidR="00B02643" w:rsidRPr="00343AF3" w:rsidRDefault="00B02643" w:rsidP="00B02643">
            <w:pPr>
              <w:spacing w:line="240" w:lineRule="auto"/>
              <w:rPr>
                <w:rFonts w:ascii="Calibri" w:eastAsia="Times New Roman" w:hAnsi="Calibri" w:cs="Arial"/>
                <w:sz w:val="24"/>
                <w:szCs w:val="24"/>
                <w:lang w:eastAsia="fr-FR"/>
              </w:rPr>
            </w:pPr>
            <w:bookmarkStart w:id="2" w:name="RANGE!A1"/>
            <w:bookmarkStart w:id="3" w:name="RANGE!A1:C25"/>
            <w:bookmarkEnd w:id="2"/>
            <w:r w:rsidRPr="00343AF3">
              <w:rPr>
                <w:rFonts w:ascii="Calibri" w:eastAsia="Times New Roman" w:hAnsi="Calibri" w:cs="Arial"/>
                <w:sz w:val="24"/>
                <w:szCs w:val="24"/>
                <w:lang w:eastAsia="fr-FR"/>
              </w:rPr>
              <w:t>REVENU DISPONIBLE DES MENAGES</w:t>
            </w:r>
            <w:bookmarkEnd w:id="3"/>
          </w:p>
        </w:tc>
        <w:tc>
          <w:tcPr>
            <w:tcW w:w="4114" w:type="dxa"/>
            <w:tcBorders>
              <w:top w:val="nil"/>
              <w:left w:val="nil"/>
              <w:bottom w:val="nil"/>
              <w:right w:val="nil"/>
            </w:tcBorders>
            <w:shd w:val="clear" w:color="auto" w:fill="auto"/>
            <w:noWrap/>
            <w:vAlign w:val="bottom"/>
            <w:hideMark/>
          </w:tcPr>
          <w:p w:rsidR="00B02643" w:rsidRPr="00343AF3" w:rsidRDefault="00B02643" w:rsidP="00B02643">
            <w:pPr>
              <w:spacing w:line="240" w:lineRule="auto"/>
              <w:rPr>
                <w:rFonts w:ascii="Calibri" w:eastAsia="Times New Roman" w:hAnsi="Calibri" w:cs="Arial"/>
                <w:sz w:val="24"/>
                <w:szCs w:val="24"/>
                <w:lang w:eastAsia="fr-FR"/>
              </w:rPr>
            </w:pPr>
          </w:p>
        </w:tc>
      </w:tr>
      <w:tr w:rsidR="00B02643" w:rsidRPr="00343AF3" w:rsidTr="005F6C4E">
        <w:trPr>
          <w:trHeight w:val="255"/>
        </w:trPr>
        <w:tc>
          <w:tcPr>
            <w:tcW w:w="910" w:type="dxa"/>
            <w:tcBorders>
              <w:top w:val="nil"/>
              <w:left w:val="nil"/>
              <w:bottom w:val="nil"/>
              <w:right w:val="nil"/>
            </w:tcBorders>
            <w:shd w:val="clear" w:color="auto" w:fill="auto"/>
            <w:noWrap/>
            <w:vAlign w:val="bottom"/>
            <w:hideMark/>
          </w:tcPr>
          <w:p w:rsidR="00B02643" w:rsidRPr="00343AF3" w:rsidRDefault="00B02643" w:rsidP="00B02643">
            <w:pPr>
              <w:spacing w:line="240" w:lineRule="auto"/>
              <w:rPr>
                <w:rFonts w:ascii="Calibri" w:eastAsia="Times New Roman" w:hAnsi="Calibri" w:cs="Arial"/>
                <w:sz w:val="24"/>
                <w:szCs w:val="24"/>
                <w:lang w:eastAsia="fr-FR"/>
              </w:rPr>
            </w:pPr>
          </w:p>
        </w:tc>
        <w:tc>
          <w:tcPr>
            <w:tcW w:w="1501" w:type="dxa"/>
            <w:tcBorders>
              <w:top w:val="nil"/>
              <w:left w:val="nil"/>
              <w:bottom w:val="nil"/>
              <w:right w:val="nil"/>
            </w:tcBorders>
            <w:shd w:val="clear" w:color="auto" w:fill="auto"/>
            <w:noWrap/>
            <w:vAlign w:val="bottom"/>
            <w:hideMark/>
          </w:tcPr>
          <w:p w:rsidR="00B02643" w:rsidRPr="00343AF3" w:rsidRDefault="00B02643" w:rsidP="00B02643">
            <w:pPr>
              <w:spacing w:line="240" w:lineRule="auto"/>
              <w:rPr>
                <w:rFonts w:ascii="Calibri" w:eastAsia="Times New Roman" w:hAnsi="Calibri" w:cs="Arial"/>
                <w:sz w:val="24"/>
                <w:szCs w:val="24"/>
                <w:lang w:eastAsia="fr-FR"/>
              </w:rPr>
            </w:pPr>
          </w:p>
        </w:tc>
        <w:tc>
          <w:tcPr>
            <w:tcW w:w="5504" w:type="dxa"/>
            <w:gridSpan w:val="2"/>
            <w:tcBorders>
              <w:top w:val="nil"/>
              <w:left w:val="nil"/>
              <w:bottom w:val="nil"/>
              <w:right w:val="nil"/>
            </w:tcBorders>
            <w:shd w:val="clear" w:color="auto" w:fill="auto"/>
            <w:noWrap/>
            <w:vAlign w:val="bottom"/>
            <w:hideMark/>
          </w:tcPr>
          <w:p w:rsidR="00B02643" w:rsidRPr="00343AF3" w:rsidRDefault="00B02643" w:rsidP="00B02643">
            <w:pPr>
              <w:spacing w:line="240" w:lineRule="auto"/>
              <w:rPr>
                <w:rFonts w:ascii="Calibri" w:eastAsia="Times New Roman" w:hAnsi="Calibri" w:cs="Arial"/>
                <w:sz w:val="24"/>
                <w:szCs w:val="24"/>
                <w:lang w:eastAsia="fr-FR"/>
              </w:rPr>
            </w:pPr>
            <w:bookmarkStart w:id="4" w:name="RANGE!C2"/>
            <w:r w:rsidRPr="00343AF3">
              <w:rPr>
                <w:rFonts w:ascii="Calibri" w:eastAsia="Times New Roman" w:hAnsi="Calibri" w:cs="Arial"/>
                <w:sz w:val="24"/>
                <w:szCs w:val="24"/>
                <w:lang w:eastAsia="fr-FR"/>
              </w:rPr>
              <w:t>en euros 2010/an</w:t>
            </w:r>
            <w:bookmarkEnd w:id="4"/>
          </w:p>
        </w:tc>
      </w:tr>
      <w:tr w:rsidR="00B02643" w:rsidRPr="00343AF3" w:rsidTr="005F6C4E">
        <w:trPr>
          <w:trHeight w:val="255"/>
        </w:trPr>
        <w:tc>
          <w:tcPr>
            <w:tcW w:w="910" w:type="dxa"/>
            <w:tcBorders>
              <w:top w:val="single" w:sz="4" w:space="0" w:color="auto"/>
              <w:left w:val="single" w:sz="4" w:space="0" w:color="auto"/>
              <w:bottom w:val="nil"/>
              <w:right w:val="nil"/>
            </w:tcBorders>
            <w:shd w:val="clear" w:color="auto" w:fill="auto"/>
            <w:noWrap/>
            <w:vAlign w:val="bottom"/>
            <w:hideMark/>
          </w:tcPr>
          <w:p w:rsidR="00B02643" w:rsidRPr="00343AF3" w:rsidRDefault="00B02643" w:rsidP="00B02643">
            <w:pPr>
              <w:spacing w:line="240" w:lineRule="auto"/>
              <w:jc w:val="center"/>
              <w:rPr>
                <w:rFonts w:ascii="Calibri" w:eastAsia="Times New Roman" w:hAnsi="Calibri" w:cs="Arial"/>
                <w:sz w:val="24"/>
                <w:szCs w:val="24"/>
                <w:lang w:eastAsia="fr-FR"/>
              </w:rPr>
            </w:pPr>
            <w:bookmarkStart w:id="5" w:name="RANGE!A3:C3"/>
            <w:r w:rsidRPr="00343AF3">
              <w:rPr>
                <w:rFonts w:ascii="Calibri" w:eastAsia="Times New Roman" w:hAnsi="Calibri" w:cs="Arial"/>
                <w:sz w:val="24"/>
                <w:szCs w:val="24"/>
                <w:lang w:eastAsia="fr-FR"/>
              </w:rPr>
              <w:t>année</w:t>
            </w:r>
            <w:bookmarkEnd w:id="5"/>
          </w:p>
        </w:tc>
        <w:tc>
          <w:tcPr>
            <w:tcW w:w="1501" w:type="dxa"/>
            <w:tcBorders>
              <w:top w:val="single" w:sz="4" w:space="0" w:color="auto"/>
              <w:left w:val="single" w:sz="4" w:space="0" w:color="auto"/>
              <w:bottom w:val="nil"/>
              <w:right w:val="single" w:sz="4" w:space="0" w:color="auto"/>
            </w:tcBorders>
            <w:shd w:val="clear" w:color="auto" w:fill="auto"/>
            <w:noWrap/>
            <w:vAlign w:val="bottom"/>
            <w:hideMark/>
          </w:tcPr>
          <w:p w:rsidR="00B02643" w:rsidRPr="00343AF3" w:rsidRDefault="00B02643" w:rsidP="00B02643">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moyenne</w:t>
            </w:r>
          </w:p>
        </w:tc>
        <w:tc>
          <w:tcPr>
            <w:tcW w:w="1390" w:type="dxa"/>
            <w:tcBorders>
              <w:top w:val="single" w:sz="4" w:space="0" w:color="auto"/>
              <w:left w:val="nil"/>
              <w:bottom w:val="nil"/>
              <w:right w:val="single" w:sz="4" w:space="0" w:color="auto"/>
            </w:tcBorders>
            <w:shd w:val="clear" w:color="auto" w:fill="auto"/>
            <w:noWrap/>
            <w:vAlign w:val="bottom"/>
            <w:hideMark/>
          </w:tcPr>
          <w:p w:rsidR="00B02643" w:rsidRPr="00343AF3" w:rsidRDefault="00B02643" w:rsidP="00B02643">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médiane</w:t>
            </w:r>
          </w:p>
        </w:tc>
        <w:tc>
          <w:tcPr>
            <w:tcW w:w="4114" w:type="dxa"/>
            <w:tcBorders>
              <w:top w:val="nil"/>
              <w:left w:val="nil"/>
              <w:bottom w:val="nil"/>
              <w:right w:val="nil"/>
            </w:tcBorders>
            <w:shd w:val="clear" w:color="auto" w:fill="auto"/>
            <w:noWrap/>
            <w:vAlign w:val="bottom"/>
            <w:hideMark/>
          </w:tcPr>
          <w:p w:rsidR="00B02643" w:rsidRPr="00343AF3" w:rsidRDefault="00B02643" w:rsidP="00B02643">
            <w:pPr>
              <w:spacing w:line="240" w:lineRule="auto"/>
              <w:rPr>
                <w:rFonts w:ascii="Calibri" w:eastAsia="Times New Roman" w:hAnsi="Calibri" w:cs="Arial"/>
                <w:sz w:val="24"/>
                <w:szCs w:val="24"/>
                <w:lang w:eastAsia="fr-FR"/>
              </w:rPr>
            </w:pPr>
          </w:p>
        </w:tc>
      </w:tr>
      <w:tr w:rsidR="00B02643" w:rsidRPr="00343AF3" w:rsidTr="005F6C4E">
        <w:trPr>
          <w:trHeight w:val="255"/>
        </w:trPr>
        <w:tc>
          <w:tcPr>
            <w:tcW w:w="910" w:type="dxa"/>
            <w:tcBorders>
              <w:top w:val="single" w:sz="4" w:space="0" w:color="auto"/>
              <w:left w:val="single" w:sz="4" w:space="0" w:color="auto"/>
              <w:bottom w:val="nil"/>
              <w:right w:val="nil"/>
            </w:tcBorders>
            <w:shd w:val="clear" w:color="auto" w:fill="auto"/>
            <w:noWrap/>
            <w:vAlign w:val="bottom"/>
            <w:hideMark/>
          </w:tcPr>
          <w:p w:rsidR="00B02643" w:rsidRPr="00343AF3" w:rsidRDefault="00B02643" w:rsidP="00B02643">
            <w:pPr>
              <w:spacing w:line="240" w:lineRule="auto"/>
              <w:jc w:val="center"/>
              <w:rPr>
                <w:rFonts w:ascii="Calibri" w:eastAsia="Times New Roman" w:hAnsi="Calibri" w:cs="Arial"/>
                <w:sz w:val="24"/>
                <w:szCs w:val="24"/>
                <w:lang w:eastAsia="fr-FR"/>
              </w:rPr>
            </w:pPr>
            <w:bookmarkStart w:id="6" w:name="RANGE!A4:A23"/>
            <w:r w:rsidRPr="00343AF3">
              <w:rPr>
                <w:rFonts w:ascii="Calibri" w:eastAsia="Times New Roman" w:hAnsi="Calibri" w:cs="Arial"/>
                <w:sz w:val="24"/>
                <w:szCs w:val="24"/>
                <w:lang w:eastAsia="fr-FR"/>
              </w:rPr>
              <w:t>1970</w:t>
            </w:r>
            <w:bookmarkEnd w:id="6"/>
          </w:p>
        </w:tc>
        <w:tc>
          <w:tcPr>
            <w:tcW w:w="1501" w:type="dxa"/>
            <w:tcBorders>
              <w:top w:val="single" w:sz="4" w:space="0" w:color="auto"/>
              <w:left w:val="single" w:sz="4" w:space="0" w:color="auto"/>
              <w:bottom w:val="nil"/>
              <w:right w:val="single" w:sz="4" w:space="0" w:color="auto"/>
            </w:tcBorders>
            <w:shd w:val="clear" w:color="auto" w:fill="auto"/>
            <w:noWrap/>
            <w:vAlign w:val="bottom"/>
            <w:hideMark/>
          </w:tcPr>
          <w:p w:rsidR="00B02643" w:rsidRPr="00343AF3" w:rsidRDefault="00B02643" w:rsidP="00B02643">
            <w:pPr>
              <w:spacing w:line="240" w:lineRule="auto"/>
              <w:jc w:val="center"/>
              <w:rPr>
                <w:rFonts w:ascii="Calibri" w:eastAsia="Times New Roman" w:hAnsi="Calibri" w:cs="Arial"/>
                <w:sz w:val="24"/>
                <w:szCs w:val="24"/>
                <w:lang w:eastAsia="fr-FR"/>
              </w:rPr>
            </w:pPr>
            <w:bookmarkStart w:id="7" w:name="RANGE!B4:C23"/>
            <w:r w:rsidRPr="00343AF3">
              <w:rPr>
                <w:rFonts w:ascii="Calibri" w:eastAsia="Times New Roman" w:hAnsi="Calibri" w:cs="Arial"/>
                <w:sz w:val="24"/>
                <w:szCs w:val="24"/>
                <w:lang w:eastAsia="fr-FR"/>
              </w:rPr>
              <w:t>21 477</w:t>
            </w:r>
            <w:bookmarkEnd w:id="7"/>
          </w:p>
        </w:tc>
        <w:tc>
          <w:tcPr>
            <w:tcW w:w="1390" w:type="dxa"/>
            <w:tcBorders>
              <w:top w:val="single" w:sz="4" w:space="0" w:color="auto"/>
              <w:left w:val="nil"/>
              <w:bottom w:val="nil"/>
              <w:right w:val="single" w:sz="4" w:space="0" w:color="auto"/>
            </w:tcBorders>
            <w:shd w:val="clear" w:color="auto" w:fill="auto"/>
            <w:noWrap/>
            <w:vAlign w:val="bottom"/>
            <w:hideMark/>
          </w:tcPr>
          <w:p w:rsidR="00B02643" w:rsidRPr="00343AF3" w:rsidRDefault="00B02643" w:rsidP="00B02643">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17 752</w:t>
            </w:r>
          </w:p>
        </w:tc>
        <w:tc>
          <w:tcPr>
            <w:tcW w:w="4114" w:type="dxa"/>
            <w:tcBorders>
              <w:top w:val="nil"/>
              <w:left w:val="nil"/>
              <w:bottom w:val="nil"/>
              <w:right w:val="nil"/>
            </w:tcBorders>
            <w:shd w:val="clear" w:color="auto" w:fill="auto"/>
            <w:noWrap/>
            <w:vAlign w:val="bottom"/>
            <w:hideMark/>
          </w:tcPr>
          <w:p w:rsidR="00B02643" w:rsidRPr="00343AF3" w:rsidRDefault="00B02643" w:rsidP="00B02643">
            <w:pPr>
              <w:spacing w:line="240" w:lineRule="auto"/>
              <w:rPr>
                <w:rFonts w:ascii="Calibri" w:eastAsia="Times New Roman" w:hAnsi="Calibri" w:cs="Arial"/>
                <w:sz w:val="24"/>
                <w:szCs w:val="24"/>
                <w:lang w:eastAsia="fr-FR"/>
              </w:rPr>
            </w:pPr>
          </w:p>
        </w:tc>
      </w:tr>
      <w:tr w:rsidR="00B02643" w:rsidRPr="00343AF3" w:rsidTr="005F6C4E">
        <w:trPr>
          <w:trHeight w:val="255"/>
        </w:trPr>
        <w:tc>
          <w:tcPr>
            <w:tcW w:w="910" w:type="dxa"/>
            <w:tcBorders>
              <w:top w:val="nil"/>
              <w:left w:val="single" w:sz="4" w:space="0" w:color="auto"/>
              <w:bottom w:val="nil"/>
              <w:right w:val="nil"/>
            </w:tcBorders>
            <w:shd w:val="clear" w:color="auto" w:fill="auto"/>
            <w:noWrap/>
            <w:vAlign w:val="bottom"/>
            <w:hideMark/>
          </w:tcPr>
          <w:p w:rsidR="00B02643" w:rsidRPr="00343AF3" w:rsidRDefault="00B02643" w:rsidP="00B02643">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1975</w:t>
            </w:r>
          </w:p>
        </w:tc>
        <w:tc>
          <w:tcPr>
            <w:tcW w:w="1501" w:type="dxa"/>
            <w:tcBorders>
              <w:top w:val="nil"/>
              <w:left w:val="single" w:sz="4" w:space="0" w:color="auto"/>
              <w:bottom w:val="nil"/>
              <w:right w:val="single" w:sz="4" w:space="0" w:color="auto"/>
            </w:tcBorders>
            <w:shd w:val="clear" w:color="auto" w:fill="auto"/>
            <w:noWrap/>
            <w:vAlign w:val="bottom"/>
            <w:hideMark/>
          </w:tcPr>
          <w:p w:rsidR="00B02643" w:rsidRPr="00343AF3" w:rsidRDefault="00B02643" w:rsidP="00B02643">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25 791</w:t>
            </w:r>
          </w:p>
        </w:tc>
        <w:tc>
          <w:tcPr>
            <w:tcW w:w="1390" w:type="dxa"/>
            <w:tcBorders>
              <w:top w:val="nil"/>
              <w:left w:val="nil"/>
              <w:bottom w:val="nil"/>
              <w:right w:val="single" w:sz="4" w:space="0" w:color="auto"/>
            </w:tcBorders>
            <w:shd w:val="clear" w:color="auto" w:fill="auto"/>
            <w:noWrap/>
            <w:vAlign w:val="bottom"/>
            <w:hideMark/>
          </w:tcPr>
          <w:p w:rsidR="00B02643" w:rsidRPr="00343AF3" w:rsidRDefault="00B02643" w:rsidP="00B02643">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21 944</w:t>
            </w:r>
          </w:p>
        </w:tc>
        <w:tc>
          <w:tcPr>
            <w:tcW w:w="4114" w:type="dxa"/>
            <w:tcBorders>
              <w:top w:val="nil"/>
              <w:left w:val="nil"/>
              <w:bottom w:val="nil"/>
              <w:right w:val="nil"/>
            </w:tcBorders>
            <w:shd w:val="clear" w:color="auto" w:fill="auto"/>
            <w:noWrap/>
            <w:vAlign w:val="bottom"/>
            <w:hideMark/>
          </w:tcPr>
          <w:p w:rsidR="00B02643" w:rsidRPr="00343AF3" w:rsidRDefault="00B02643" w:rsidP="00B02643">
            <w:pPr>
              <w:spacing w:line="240" w:lineRule="auto"/>
              <w:rPr>
                <w:rFonts w:ascii="Calibri" w:eastAsia="Times New Roman" w:hAnsi="Calibri" w:cs="Arial"/>
                <w:sz w:val="24"/>
                <w:szCs w:val="24"/>
                <w:lang w:eastAsia="fr-FR"/>
              </w:rPr>
            </w:pPr>
          </w:p>
        </w:tc>
      </w:tr>
      <w:tr w:rsidR="00B02643" w:rsidRPr="00343AF3" w:rsidTr="005F6C4E">
        <w:trPr>
          <w:trHeight w:val="255"/>
        </w:trPr>
        <w:tc>
          <w:tcPr>
            <w:tcW w:w="910" w:type="dxa"/>
            <w:tcBorders>
              <w:top w:val="nil"/>
              <w:left w:val="single" w:sz="4" w:space="0" w:color="auto"/>
              <w:bottom w:val="nil"/>
              <w:right w:val="nil"/>
            </w:tcBorders>
            <w:shd w:val="clear" w:color="auto" w:fill="auto"/>
            <w:noWrap/>
            <w:vAlign w:val="bottom"/>
            <w:hideMark/>
          </w:tcPr>
          <w:p w:rsidR="00B02643" w:rsidRPr="00343AF3" w:rsidRDefault="00B02643" w:rsidP="00B02643">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1979</w:t>
            </w:r>
          </w:p>
        </w:tc>
        <w:tc>
          <w:tcPr>
            <w:tcW w:w="1501" w:type="dxa"/>
            <w:tcBorders>
              <w:top w:val="nil"/>
              <w:left w:val="single" w:sz="4" w:space="0" w:color="auto"/>
              <w:bottom w:val="nil"/>
              <w:right w:val="single" w:sz="4" w:space="0" w:color="auto"/>
            </w:tcBorders>
            <w:shd w:val="clear" w:color="auto" w:fill="auto"/>
            <w:noWrap/>
            <w:vAlign w:val="bottom"/>
            <w:hideMark/>
          </w:tcPr>
          <w:p w:rsidR="00B02643" w:rsidRPr="00343AF3" w:rsidRDefault="00B02643" w:rsidP="00B02643">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28 065</w:t>
            </w:r>
          </w:p>
        </w:tc>
        <w:tc>
          <w:tcPr>
            <w:tcW w:w="1390" w:type="dxa"/>
            <w:tcBorders>
              <w:top w:val="nil"/>
              <w:left w:val="nil"/>
              <w:bottom w:val="nil"/>
              <w:right w:val="single" w:sz="4" w:space="0" w:color="auto"/>
            </w:tcBorders>
            <w:shd w:val="clear" w:color="auto" w:fill="auto"/>
            <w:noWrap/>
            <w:vAlign w:val="bottom"/>
            <w:hideMark/>
          </w:tcPr>
          <w:p w:rsidR="00B02643" w:rsidRPr="00343AF3" w:rsidRDefault="00B02643" w:rsidP="00B02643">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23 984</w:t>
            </w:r>
          </w:p>
        </w:tc>
        <w:tc>
          <w:tcPr>
            <w:tcW w:w="4114" w:type="dxa"/>
            <w:tcBorders>
              <w:top w:val="nil"/>
              <w:left w:val="nil"/>
              <w:bottom w:val="nil"/>
              <w:right w:val="nil"/>
            </w:tcBorders>
            <w:shd w:val="clear" w:color="auto" w:fill="auto"/>
            <w:noWrap/>
            <w:vAlign w:val="bottom"/>
            <w:hideMark/>
          </w:tcPr>
          <w:p w:rsidR="00B02643" w:rsidRPr="00343AF3" w:rsidRDefault="00B02643" w:rsidP="00B02643">
            <w:pPr>
              <w:spacing w:line="240" w:lineRule="auto"/>
              <w:rPr>
                <w:rFonts w:ascii="Calibri" w:eastAsia="Times New Roman" w:hAnsi="Calibri" w:cs="Arial"/>
                <w:sz w:val="24"/>
                <w:szCs w:val="24"/>
                <w:lang w:eastAsia="fr-FR"/>
              </w:rPr>
            </w:pPr>
          </w:p>
        </w:tc>
      </w:tr>
      <w:tr w:rsidR="00B02643" w:rsidRPr="00343AF3" w:rsidTr="005F6C4E">
        <w:trPr>
          <w:trHeight w:val="255"/>
        </w:trPr>
        <w:tc>
          <w:tcPr>
            <w:tcW w:w="910" w:type="dxa"/>
            <w:tcBorders>
              <w:top w:val="nil"/>
              <w:left w:val="single" w:sz="4" w:space="0" w:color="auto"/>
              <w:bottom w:val="nil"/>
              <w:right w:val="nil"/>
            </w:tcBorders>
            <w:shd w:val="clear" w:color="auto" w:fill="auto"/>
            <w:noWrap/>
            <w:vAlign w:val="bottom"/>
            <w:hideMark/>
          </w:tcPr>
          <w:p w:rsidR="00B02643" w:rsidRPr="00343AF3" w:rsidRDefault="00B02643" w:rsidP="00B02643">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1984</w:t>
            </w:r>
          </w:p>
        </w:tc>
        <w:tc>
          <w:tcPr>
            <w:tcW w:w="1501" w:type="dxa"/>
            <w:tcBorders>
              <w:top w:val="nil"/>
              <w:left w:val="single" w:sz="4" w:space="0" w:color="auto"/>
              <w:bottom w:val="nil"/>
              <w:right w:val="single" w:sz="4" w:space="0" w:color="auto"/>
            </w:tcBorders>
            <w:shd w:val="clear" w:color="auto" w:fill="auto"/>
            <w:noWrap/>
            <w:vAlign w:val="bottom"/>
            <w:hideMark/>
          </w:tcPr>
          <w:p w:rsidR="00B02643" w:rsidRPr="00343AF3" w:rsidRDefault="00B02643" w:rsidP="00B02643">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28 471</w:t>
            </w:r>
          </w:p>
        </w:tc>
        <w:tc>
          <w:tcPr>
            <w:tcW w:w="1390" w:type="dxa"/>
            <w:tcBorders>
              <w:top w:val="nil"/>
              <w:left w:val="nil"/>
              <w:bottom w:val="nil"/>
              <w:right w:val="single" w:sz="4" w:space="0" w:color="auto"/>
            </w:tcBorders>
            <w:shd w:val="clear" w:color="auto" w:fill="auto"/>
            <w:noWrap/>
            <w:vAlign w:val="bottom"/>
            <w:hideMark/>
          </w:tcPr>
          <w:p w:rsidR="00B02643" w:rsidRPr="00343AF3" w:rsidRDefault="00B02643" w:rsidP="00B02643">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24 441</w:t>
            </w:r>
          </w:p>
        </w:tc>
        <w:tc>
          <w:tcPr>
            <w:tcW w:w="4114" w:type="dxa"/>
            <w:tcBorders>
              <w:top w:val="nil"/>
              <w:left w:val="nil"/>
              <w:bottom w:val="nil"/>
              <w:right w:val="nil"/>
            </w:tcBorders>
            <w:shd w:val="clear" w:color="auto" w:fill="auto"/>
            <w:noWrap/>
            <w:vAlign w:val="bottom"/>
            <w:hideMark/>
          </w:tcPr>
          <w:p w:rsidR="00B02643" w:rsidRPr="00343AF3" w:rsidRDefault="00B02643" w:rsidP="00B02643">
            <w:pPr>
              <w:spacing w:line="240" w:lineRule="auto"/>
              <w:rPr>
                <w:rFonts w:ascii="Calibri" w:eastAsia="Times New Roman" w:hAnsi="Calibri" w:cs="Arial"/>
                <w:sz w:val="24"/>
                <w:szCs w:val="24"/>
                <w:lang w:eastAsia="fr-FR"/>
              </w:rPr>
            </w:pPr>
          </w:p>
        </w:tc>
      </w:tr>
      <w:tr w:rsidR="00B02643" w:rsidRPr="00343AF3" w:rsidTr="005F6C4E">
        <w:trPr>
          <w:trHeight w:val="255"/>
        </w:trPr>
        <w:tc>
          <w:tcPr>
            <w:tcW w:w="910" w:type="dxa"/>
            <w:tcBorders>
              <w:top w:val="nil"/>
              <w:left w:val="single" w:sz="4" w:space="0" w:color="auto"/>
              <w:bottom w:val="nil"/>
              <w:right w:val="nil"/>
            </w:tcBorders>
            <w:shd w:val="clear" w:color="auto" w:fill="auto"/>
            <w:noWrap/>
            <w:vAlign w:val="bottom"/>
            <w:hideMark/>
          </w:tcPr>
          <w:p w:rsidR="00B02643" w:rsidRPr="00343AF3" w:rsidRDefault="00B02643" w:rsidP="00B02643">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1990</w:t>
            </w:r>
          </w:p>
        </w:tc>
        <w:tc>
          <w:tcPr>
            <w:tcW w:w="1501" w:type="dxa"/>
            <w:tcBorders>
              <w:top w:val="nil"/>
              <w:left w:val="single" w:sz="4" w:space="0" w:color="auto"/>
              <w:bottom w:val="nil"/>
              <w:right w:val="single" w:sz="4" w:space="0" w:color="auto"/>
            </w:tcBorders>
            <w:shd w:val="clear" w:color="auto" w:fill="auto"/>
            <w:noWrap/>
            <w:vAlign w:val="bottom"/>
            <w:hideMark/>
          </w:tcPr>
          <w:p w:rsidR="00B02643" w:rsidRPr="00343AF3" w:rsidRDefault="00B02643" w:rsidP="00B02643">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29 719</w:t>
            </w:r>
          </w:p>
        </w:tc>
        <w:tc>
          <w:tcPr>
            <w:tcW w:w="1390" w:type="dxa"/>
            <w:tcBorders>
              <w:top w:val="nil"/>
              <w:left w:val="nil"/>
              <w:bottom w:val="nil"/>
              <w:right w:val="single" w:sz="4" w:space="0" w:color="auto"/>
            </w:tcBorders>
            <w:shd w:val="clear" w:color="auto" w:fill="auto"/>
            <w:noWrap/>
            <w:vAlign w:val="bottom"/>
            <w:hideMark/>
          </w:tcPr>
          <w:p w:rsidR="00B02643" w:rsidRPr="00343AF3" w:rsidRDefault="00B02643" w:rsidP="00B02643">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25 497</w:t>
            </w:r>
          </w:p>
        </w:tc>
        <w:tc>
          <w:tcPr>
            <w:tcW w:w="4114" w:type="dxa"/>
            <w:tcBorders>
              <w:top w:val="nil"/>
              <w:left w:val="nil"/>
              <w:bottom w:val="nil"/>
              <w:right w:val="nil"/>
            </w:tcBorders>
            <w:shd w:val="clear" w:color="auto" w:fill="auto"/>
            <w:noWrap/>
            <w:vAlign w:val="bottom"/>
            <w:hideMark/>
          </w:tcPr>
          <w:p w:rsidR="00B02643" w:rsidRPr="00343AF3" w:rsidRDefault="00B02643" w:rsidP="00B02643">
            <w:pPr>
              <w:spacing w:line="240" w:lineRule="auto"/>
              <w:rPr>
                <w:rFonts w:ascii="Calibri" w:eastAsia="Times New Roman" w:hAnsi="Calibri" w:cs="Arial"/>
                <w:sz w:val="24"/>
                <w:szCs w:val="24"/>
                <w:lang w:eastAsia="fr-FR"/>
              </w:rPr>
            </w:pPr>
          </w:p>
        </w:tc>
      </w:tr>
      <w:tr w:rsidR="00B02643" w:rsidRPr="00343AF3" w:rsidTr="005F6C4E">
        <w:trPr>
          <w:trHeight w:val="255"/>
        </w:trPr>
        <w:tc>
          <w:tcPr>
            <w:tcW w:w="910" w:type="dxa"/>
            <w:tcBorders>
              <w:top w:val="nil"/>
              <w:left w:val="single" w:sz="4" w:space="0" w:color="auto"/>
              <w:bottom w:val="nil"/>
              <w:right w:val="nil"/>
            </w:tcBorders>
            <w:shd w:val="clear" w:color="auto" w:fill="auto"/>
            <w:noWrap/>
            <w:vAlign w:val="bottom"/>
            <w:hideMark/>
          </w:tcPr>
          <w:p w:rsidR="00B02643" w:rsidRPr="00343AF3" w:rsidRDefault="00B02643" w:rsidP="00B02643">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1996</w:t>
            </w:r>
          </w:p>
        </w:tc>
        <w:tc>
          <w:tcPr>
            <w:tcW w:w="1501" w:type="dxa"/>
            <w:tcBorders>
              <w:top w:val="nil"/>
              <w:left w:val="single" w:sz="4" w:space="0" w:color="auto"/>
              <w:bottom w:val="nil"/>
              <w:right w:val="single" w:sz="4" w:space="0" w:color="auto"/>
            </w:tcBorders>
            <w:shd w:val="clear" w:color="auto" w:fill="auto"/>
            <w:noWrap/>
            <w:vAlign w:val="bottom"/>
            <w:hideMark/>
          </w:tcPr>
          <w:p w:rsidR="00B02643" w:rsidRPr="00343AF3" w:rsidRDefault="00B02643" w:rsidP="00B02643">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30 650</w:t>
            </w:r>
          </w:p>
        </w:tc>
        <w:tc>
          <w:tcPr>
            <w:tcW w:w="1390" w:type="dxa"/>
            <w:tcBorders>
              <w:top w:val="nil"/>
              <w:left w:val="nil"/>
              <w:bottom w:val="nil"/>
              <w:right w:val="single" w:sz="4" w:space="0" w:color="auto"/>
            </w:tcBorders>
            <w:shd w:val="clear" w:color="auto" w:fill="auto"/>
            <w:noWrap/>
            <w:vAlign w:val="bottom"/>
            <w:hideMark/>
          </w:tcPr>
          <w:p w:rsidR="00B02643" w:rsidRPr="00343AF3" w:rsidRDefault="00B02643" w:rsidP="00B02643">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26 360</w:t>
            </w:r>
          </w:p>
        </w:tc>
        <w:tc>
          <w:tcPr>
            <w:tcW w:w="4114" w:type="dxa"/>
            <w:tcBorders>
              <w:top w:val="nil"/>
              <w:left w:val="nil"/>
              <w:bottom w:val="nil"/>
              <w:right w:val="nil"/>
            </w:tcBorders>
            <w:shd w:val="clear" w:color="auto" w:fill="auto"/>
            <w:noWrap/>
            <w:vAlign w:val="bottom"/>
            <w:hideMark/>
          </w:tcPr>
          <w:p w:rsidR="00B02643" w:rsidRPr="00343AF3" w:rsidRDefault="00B02643" w:rsidP="00B02643">
            <w:pPr>
              <w:spacing w:line="240" w:lineRule="auto"/>
              <w:rPr>
                <w:rFonts w:ascii="Calibri" w:eastAsia="Times New Roman" w:hAnsi="Calibri" w:cs="Arial"/>
                <w:sz w:val="24"/>
                <w:szCs w:val="24"/>
                <w:lang w:eastAsia="fr-FR"/>
              </w:rPr>
            </w:pPr>
          </w:p>
        </w:tc>
      </w:tr>
      <w:tr w:rsidR="00B02643" w:rsidRPr="00343AF3" w:rsidTr="005F6C4E">
        <w:trPr>
          <w:trHeight w:val="255"/>
        </w:trPr>
        <w:tc>
          <w:tcPr>
            <w:tcW w:w="910" w:type="dxa"/>
            <w:tcBorders>
              <w:top w:val="nil"/>
              <w:left w:val="single" w:sz="4" w:space="0" w:color="auto"/>
              <w:bottom w:val="nil"/>
              <w:right w:val="nil"/>
            </w:tcBorders>
            <w:shd w:val="clear" w:color="auto" w:fill="auto"/>
            <w:noWrap/>
            <w:vAlign w:val="bottom"/>
            <w:hideMark/>
          </w:tcPr>
          <w:p w:rsidR="00B02643" w:rsidRPr="00343AF3" w:rsidRDefault="00B02643" w:rsidP="00B02643">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1997</w:t>
            </w:r>
          </w:p>
        </w:tc>
        <w:tc>
          <w:tcPr>
            <w:tcW w:w="1501" w:type="dxa"/>
            <w:tcBorders>
              <w:top w:val="nil"/>
              <w:left w:val="single" w:sz="4" w:space="0" w:color="auto"/>
              <w:bottom w:val="nil"/>
              <w:right w:val="single" w:sz="4" w:space="0" w:color="auto"/>
            </w:tcBorders>
            <w:shd w:val="clear" w:color="auto" w:fill="auto"/>
            <w:noWrap/>
            <w:vAlign w:val="bottom"/>
            <w:hideMark/>
          </w:tcPr>
          <w:p w:rsidR="00B02643" w:rsidRPr="00343AF3" w:rsidRDefault="00B02643" w:rsidP="00B02643">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30 590</w:t>
            </w:r>
          </w:p>
        </w:tc>
        <w:tc>
          <w:tcPr>
            <w:tcW w:w="1390" w:type="dxa"/>
            <w:tcBorders>
              <w:top w:val="nil"/>
              <w:left w:val="nil"/>
              <w:bottom w:val="nil"/>
              <w:right w:val="single" w:sz="4" w:space="0" w:color="auto"/>
            </w:tcBorders>
            <w:shd w:val="clear" w:color="auto" w:fill="auto"/>
            <w:noWrap/>
            <w:vAlign w:val="bottom"/>
            <w:hideMark/>
          </w:tcPr>
          <w:p w:rsidR="00B02643" w:rsidRPr="00343AF3" w:rsidRDefault="00B02643" w:rsidP="00B02643">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26 290</w:t>
            </w:r>
          </w:p>
        </w:tc>
        <w:tc>
          <w:tcPr>
            <w:tcW w:w="4114" w:type="dxa"/>
            <w:tcBorders>
              <w:top w:val="nil"/>
              <w:left w:val="nil"/>
              <w:bottom w:val="nil"/>
              <w:right w:val="nil"/>
            </w:tcBorders>
            <w:shd w:val="clear" w:color="auto" w:fill="auto"/>
            <w:noWrap/>
            <w:vAlign w:val="bottom"/>
            <w:hideMark/>
          </w:tcPr>
          <w:p w:rsidR="00B02643" w:rsidRPr="00343AF3" w:rsidRDefault="00B02643" w:rsidP="00B02643">
            <w:pPr>
              <w:spacing w:line="240" w:lineRule="auto"/>
              <w:rPr>
                <w:rFonts w:ascii="Calibri" w:eastAsia="Times New Roman" w:hAnsi="Calibri" w:cs="Arial"/>
                <w:sz w:val="24"/>
                <w:szCs w:val="24"/>
                <w:lang w:eastAsia="fr-FR"/>
              </w:rPr>
            </w:pPr>
          </w:p>
        </w:tc>
      </w:tr>
      <w:tr w:rsidR="00B02643" w:rsidRPr="00343AF3" w:rsidTr="005F6C4E">
        <w:trPr>
          <w:trHeight w:val="255"/>
        </w:trPr>
        <w:tc>
          <w:tcPr>
            <w:tcW w:w="910" w:type="dxa"/>
            <w:tcBorders>
              <w:top w:val="nil"/>
              <w:left w:val="single" w:sz="4" w:space="0" w:color="auto"/>
              <w:bottom w:val="nil"/>
              <w:right w:val="nil"/>
            </w:tcBorders>
            <w:shd w:val="clear" w:color="auto" w:fill="auto"/>
            <w:noWrap/>
            <w:vAlign w:val="bottom"/>
            <w:hideMark/>
          </w:tcPr>
          <w:p w:rsidR="00B02643" w:rsidRPr="00343AF3" w:rsidRDefault="00B02643" w:rsidP="00B02643">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1998</w:t>
            </w:r>
          </w:p>
        </w:tc>
        <w:tc>
          <w:tcPr>
            <w:tcW w:w="1501" w:type="dxa"/>
            <w:tcBorders>
              <w:top w:val="nil"/>
              <w:left w:val="single" w:sz="4" w:space="0" w:color="auto"/>
              <w:bottom w:val="nil"/>
              <w:right w:val="single" w:sz="4" w:space="0" w:color="auto"/>
            </w:tcBorders>
            <w:shd w:val="clear" w:color="auto" w:fill="auto"/>
            <w:noWrap/>
            <w:vAlign w:val="bottom"/>
            <w:hideMark/>
          </w:tcPr>
          <w:p w:rsidR="00B02643" w:rsidRPr="00343AF3" w:rsidRDefault="00B02643" w:rsidP="00B02643">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31 220</w:t>
            </w:r>
          </w:p>
        </w:tc>
        <w:tc>
          <w:tcPr>
            <w:tcW w:w="1390" w:type="dxa"/>
            <w:tcBorders>
              <w:top w:val="nil"/>
              <w:left w:val="nil"/>
              <w:bottom w:val="nil"/>
              <w:right w:val="single" w:sz="4" w:space="0" w:color="auto"/>
            </w:tcBorders>
            <w:shd w:val="clear" w:color="auto" w:fill="auto"/>
            <w:noWrap/>
            <w:vAlign w:val="bottom"/>
            <w:hideMark/>
          </w:tcPr>
          <w:p w:rsidR="00B02643" w:rsidRPr="00343AF3" w:rsidRDefault="00B02643" w:rsidP="00B02643">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26 830</w:t>
            </w:r>
          </w:p>
        </w:tc>
        <w:tc>
          <w:tcPr>
            <w:tcW w:w="4114" w:type="dxa"/>
            <w:tcBorders>
              <w:top w:val="nil"/>
              <w:left w:val="nil"/>
              <w:bottom w:val="nil"/>
              <w:right w:val="nil"/>
            </w:tcBorders>
            <w:shd w:val="clear" w:color="auto" w:fill="auto"/>
            <w:noWrap/>
            <w:vAlign w:val="bottom"/>
            <w:hideMark/>
          </w:tcPr>
          <w:p w:rsidR="00B02643" w:rsidRPr="00343AF3" w:rsidRDefault="00B02643" w:rsidP="00B02643">
            <w:pPr>
              <w:spacing w:line="240" w:lineRule="auto"/>
              <w:rPr>
                <w:rFonts w:ascii="Calibri" w:eastAsia="Times New Roman" w:hAnsi="Calibri" w:cs="Arial"/>
                <w:sz w:val="24"/>
                <w:szCs w:val="24"/>
                <w:lang w:eastAsia="fr-FR"/>
              </w:rPr>
            </w:pPr>
          </w:p>
        </w:tc>
      </w:tr>
      <w:tr w:rsidR="00B02643" w:rsidRPr="00343AF3" w:rsidTr="005F6C4E">
        <w:trPr>
          <w:trHeight w:val="255"/>
        </w:trPr>
        <w:tc>
          <w:tcPr>
            <w:tcW w:w="910" w:type="dxa"/>
            <w:tcBorders>
              <w:top w:val="nil"/>
              <w:left w:val="single" w:sz="4" w:space="0" w:color="auto"/>
              <w:bottom w:val="nil"/>
              <w:right w:val="nil"/>
            </w:tcBorders>
            <w:shd w:val="clear" w:color="auto" w:fill="auto"/>
            <w:noWrap/>
            <w:vAlign w:val="bottom"/>
            <w:hideMark/>
          </w:tcPr>
          <w:p w:rsidR="00B02643" w:rsidRPr="00343AF3" w:rsidRDefault="00B02643" w:rsidP="00B02643">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1999</w:t>
            </w:r>
          </w:p>
        </w:tc>
        <w:tc>
          <w:tcPr>
            <w:tcW w:w="1501" w:type="dxa"/>
            <w:tcBorders>
              <w:top w:val="nil"/>
              <w:left w:val="single" w:sz="4" w:space="0" w:color="auto"/>
              <w:bottom w:val="nil"/>
              <w:right w:val="single" w:sz="4" w:space="0" w:color="auto"/>
            </w:tcBorders>
            <w:shd w:val="clear" w:color="auto" w:fill="auto"/>
            <w:noWrap/>
            <w:vAlign w:val="bottom"/>
            <w:hideMark/>
          </w:tcPr>
          <w:p w:rsidR="00B02643" w:rsidRPr="00343AF3" w:rsidRDefault="00B02643" w:rsidP="00B02643">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31 970</w:t>
            </w:r>
          </w:p>
        </w:tc>
        <w:tc>
          <w:tcPr>
            <w:tcW w:w="1390" w:type="dxa"/>
            <w:tcBorders>
              <w:top w:val="nil"/>
              <w:left w:val="nil"/>
              <w:bottom w:val="nil"/>
              <w:right w:val="single" w:sz="4" w:space="0" w:color="auto"/>
            </w:tcBorders>
            <w:shd w:val="clear" w:color="auto" w:fill="auto"/>
            <w:noWrap/>
            <w:vAlign w:val="bottom"/>
            <w:hideMark/>
          </w:tcPr>
          <w:p w:rsidR="00B02643" w:rsidRPr="00343AF3" w:rsidRDefault="00B02643" w:rsidP="00B02643">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27 140</w:t>
            </w:r>
          </w:p>
        </w:tc>
        <w:tc>
          <w:tcPr>
            <w:tcW w:w="4114" w:type="dxa"/>
            <w:tcBorders>
              <w:top w:val="nil"/>
              <w:left w:val="nil"/>
              <w:bottom w:val="nil"/>
              <w:right w:val="nil"/>
            </w:tcBorders>
            <w:shd w:val="clear" w:color="auto" w:fill="auto"/>
            <w:noWrap/>
            <w:vAlign w:val="bottom"/>
            <w:hideMark/>
          </w:tcPr>
          <w:p w:rsidR="00B02643" w:rsidRPr="00343AF3" w:rsidRDefault="00B02643" w:rsidP="00B02643">
            <w:pPr>
              <w:spacing w:line="240" w:lineRule="auto"/>
              <w:rPr>
                <w:rFonts w:ascii="Calibri" w:eastAsia="Times New Roman" w:hAnsi="Calibri" w:cs="Arial"/>
                <w:sz w:val="24"/>
                <w:szCs w:val="24"/>
                <w:lang w:eastAsia="fr-FR"/>
              </w:rPr>
            </w:pPr>
          </w:p>
        </w:tc>
      </w:tr>
      <w:tr w:rsidR="00B02643" w:rsidRPr="00343AF3" w:rsidTr="005F6C4E">
        <w:trPr>
          <w:trHeight w:val="255"/>
        </w:trPr>
        <w:tc>
          <w:tcPr>
            <w:tcW w:w="910" w:type="dxa"/>
            <w:tcBorders>
              <w:top w:val="nil"/>
              <w:left w:val="single" w:sz="4" w:space="0" w:color="auto"/>
              <w:bottom w:val="nil"/>
              <w:right w:val="nil"/>
            </w:tcBorders>
            <w:shd w:val="clear" w:color="auto" w:fill="auto"/>
            <w:noWrap/>
            <w:vAlign w:val="bottom"/>
            <w:hideMark/>
          </w:tcPr>
          <w:p w:rsidR="00B02643" w:rsidRPr="00343AF3" w:rsidRDefault="00B02643" w:rsidP="00B02643">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2000</w:t>
            </w:r>
          </w:p>
        </w:tc>
        <w:tc>
          <w:tcPr>
            <w:tcW w:w="1501" w:type="dxa"/>
            <w:tcBorders>
              <w:top w:val="nil"/>
              <w:left w:val="single" w:sz="4" w:space="0" w:color="auto"/>
              <w:bottom w:val="nil"/>
              <w:right w:val="single" w:sz="4" w:space="0" w:color="auto"/>
            </w:tcBorders>
            <w:shd w:val="clear" w:color="auto" w:fill="auto"/>
            <w:noWrap/>
            <w:vAlign w:val="bottom"/>
            <w:hideMark/>
          </w:tcPr>
          <w:p w:rsidR="00B02643" w:rsidRPr="00343AF3" w:rsidRDefault="00B02643" w:rsidP="00B02643">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32 480</w:t>
            </w:r>
          </w:p>
        </w:tc>
        <w:tc>
          <w:tcPr>
            <w:tcW w:w="1390" w:type="dxa"/>
            <w:tcBorders>
              <w:top w:val="nil"/>
              <w:left w:val="nil"/>
              <w:bottom w:val="nil"/>
              <w:right w:val="single" w:sz="4" w:space="0" w:color="auto"/>
            </w:tcBorders>
            <w:shd w:val="clear" w:color="auto" w:fill="auto"/>
            <w:noWrap/>
            <w:vAlign w:val="bottom"/>
            <w:hideMark/>
          </w:tcPr>
          <w:p w:rsidR="00B02643" w:rsidRPr="00343AF3" w:rsidRDefault="00B02643" w:rsidP="00B02643">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27 340</w:t>
            </w:r>
          </w:p>
        </w:tc>
        <w:tc>
          <w:tcPr>
            <w:tcW w:w="4114" w:type="dxa"/>
            <w:tcBorders>
              <w:top w:val="nil"/>
              <w:left w:val="nil"/>
              <w:bottom w:val="nil"/>
              <w:right w:val="nil"/>
            </w:tcBorders>
            <w:shd w:val="clear" w:color="auto" w:fill="auto"/>
            <w:noWrap/>
            <w:vAlign w:val="bottom"/>
            <w:hideMark/>
          </w:tcPr>
          <w:p w:rsidR="00B02643" w:rsidRPr="00343AF3" w:rsidRDefault="00B02643" w:rsidP="00B02643">
            <w:pPr>
              <w:spacing w:line="240" w:lineRule="auto"/>
              <w:rPr>
                <w:rFonts w:ascii="Calibri" w:eastAsia="Times New Roman" w:hAnsi="Calibri" w:cs="Arial"/>
                <w:sz w:val="24"/>
                <w:szCs w:val="24"/>
                <w:lang w:eastAsia="fr-FR"/>
              </w:rPr>
            </w:pPr>
          </w:p>
        </w:tc>
      </w:tr>
      <w:tr w:rsidR="00B02643" w:rsidRPr="00343AF3" w:rsidTr="005F6C4E">
        <w:trPr>
          <w:trHeight w:val="255"/>
        </w:trPr>
        <w:tc>
          <w:tcPr>
            <w:tcW w:w="910" w:type="dxa"/>
            <w:tcBorders>
              <w:top w:val="nil"/>
              <w:left w:val="single" w:sz="4" w:space="0" w:color="auto"/>
              <w:bottom w:val="nil"/>
              <w:right w:val="nil"/>
            </w:tcBorders>
            <w:shd w:val="clear" w:color="auto" w:fill="auto"/>
            <w:noWrap/>
            <w:vAlign w:val="bottom"/>
            <w:hideMark/>
          </w:tcPr>
          <w:p w:rsidR="00B02643" w:rsidRPr="00343AF3" w:rsidRDefault="00B02643" w:rsidP="00B02643">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2001</w:t>
            </w:r>
          </w:p>
        </w:tc>
        <w:tc>
          <w:tcPr>
            <w:tcW w:w="1501" w:type="dxa"/>
            <w:tcBorders>
              <w:top w:val="nil"/>
              <w:left w:val="single" w:sz="4" w:space="0" w:color="auto"/>
              <w:bottom w:val="nil"/>
              <w:right w:val="single" w:sz="4" w:space="0" w:color="auto"/>
            </w:tcBorders>
            <w:shd w:val="clear" w:color="auto" w:fill="auto"/>
            <w:noWrap/>
            <w:vAlign w:val="bottom"/>
            <w:hideMark/>
          </w:tcPr>
          <w:p w:rsidR="00B02643" w:rsidRPr="00343AF3" w:rsidRDefault="00B02643" w:rsidP="00B02643">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33 160</w:t>
            </w:r>
          </w:p>
        </w:tc>
        <w:tc>
          <w:tcPr>
            <w:tcW w:w="1390" w:type="dxa"/>
            <w:tcBorders>
              <w:top w:val="nil"/>
              <w:left w:val="nil"/>
              <w:bottom w:val="nil"/>
              <w:right w:val="single" w:sz="4" w:space="0" w:color="auto"/>
            </w:tcBorders>
            <w:shd w:val="clear" w:color="auto" w:fill="auto"/>
            <w:noWrap/>
            <w:vAlign w:val="bottom"/>
            <w:hideMark/>
          </w:tcPr>
          <w:p w:rsidR="00B02643" w:rsidRPr="00343AF3" w:rsidRDefault="00B02643" w:rsidP="00B02643">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28 010</w:t>
            </w:r>
          </w:p>
        </w:tc>
        <w:tc>
          <w:tcPr>
            <w:tcW w:w="4114" w:type="dxa"/>
            <w:tcBorders>
              <w:top w:val="nil"/>
              <w:left w:val="nil"/>
              <w:bottom w:val="nil"/>
              <w:right w:val="nil"/>
            </w:tcBorders>
            <w:shd w:val="clear" w:color="auto" w:fill="auto"/>
            <w:noWrap/>
            <w:vAlign w:val="bottom"/>
            <w:hideMark/>
          </w:tcPr>
          <w:p w:rsidR="00B02643" w:rsidRPr="00343AF3" w:rsidRDefault="00B02643" w:rsidP="00B02643">
            <w:pPr>
              <w:spacing w:line="240" w:lineRule="auto"/>
              <w:rPr>
                <w:rFonts w:ascii="Calibri" w:eastAsia="Times New Roman" w:hAnsi="Calibri" w:cs="Arial"/>
                <w:sz w:val="24"/>
                <w:szCs w:val="24"/>
                <w:lang w:eastAsia="fr-FR"/>
              </w:rPr>
            </w:pPr>
          </w:p>
        </w:tc>
      </w:tr>
      <w:tr w:rsidR="00B02643" w:rsidRPr="00343AF3" w:rsidTr="005F6C4E">
        <w:trPr>
          <w:trHeight w:val="255"/>
        </w:trPr>
        <w:tc>
          <w:tcPr>
            <w:tcW w:w="910" w:type="dxa"/>
            <w:tcBorders>
              <w:top w:val="nil"/>
              <w:left w:val="single" w:sz="4" w:space="0" w:color="auto"/>
              <w:bottom w:val="nil"/>
              <w:right w:val="nil"/>
            </w:tcBorders>
            <w:shd w:val="clear" w:color="auto" w:fill="auto"/>
            <w:noWrap/>
            <w:vAlign w:val="bottom"/>
            <w:hideMark/>
          </w:tcPr>
          <w:p w:rsidR="00B02643" w:rsidRPr="00343AF3" w:rsidRDefault="00B02643" w:rsidP="00B02643">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2002</w:t>
            </w:r>
          </w:p>
        </w:tc>
        <w:tc>
          <w:tcPr>
            <w:tcW w:w="1501" w:type="dxa"/>
            <w:tcBorders>
              <w:top w:val="nil"/>
              <w:left w:val="single" w:sz="4" w:space="0" w:color="auto"/>
              <w:bottom w:val="nil"/>
              <w:right w:val="single" w:sz="4" w:space="0" w:color="auto"/>
            </w:tcBorders>
            <w:shd w:val="clear" w:color="auto" w:fill="auto"/>
            <w:noWrap/>
            <w:vAlign w:val="bottom"/>
            <w:hideMark/>
          </w:tcPr>
          <w:p w:rsidR="00B02643" w:rsidRPr="00343AF3" w:rsidRDefault="00B02643" w:rsidP="00B02643">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33 860</w:t>
            </w:r>
          </w:p>
        </w:tc>
        <w:tc>
          <w:tcPr>
            <w:tcW w:w="1390" w:type="dxa"/>
            <w:tcBorders>
              <w:top w:val="nil"/>
              <w:left w:val="nil"/>
              <w:bottom w:val="nil"/>
              <w:right w:val="single" w:sz="4" w:space="0" w:color="auto"/>
            </w:tcBorders>
            <w:shd w:val="clear" w:color="auto" w:fill="auto"/>
            <w:noWrap/>
            <w:vAlign w:val="bottom"/>
            <w:hideMark/>
          </w:tcPr>
          <w:p w:rsidR="00B02643" w:rsidRPr="00343AF3" w:rsidRDefault="00B02643" w:rsidP="00B02643">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28 720</w:t>
            </w:r>
          </w:p>
        </w:tc>
        <w:tc>
          <w:tcPr>
            <w:tcW w:w="4114" w:type="dxa"/>
            <w:tcBorders>
              <w:top w:val="nil"/>
              <w:left w:val="nil"/>
              <w:bottom w:val="nil"/>
              <w:right w:val="nil"/>
            </w:tcBorders>
            <w:shd w:val="clear" w:color="auto" w:fill="auto"/>
            <w:noWrap/>
            <w:vAlign w:val="bottom"/>
            <w:hideMark/>
          </w:tcPr>
          <w:p w:rsidR="00B02643" w:rsidRPr="00343AF3" w:rsidRDefault="00B02643" w:rsidP="00B02643">
            <w:pPr>
              <w:spacing w:line="240" w:lineRule="auto"/>
              <w:rPr>
                <w:rFonts w:ascii="Calibri" w:eastAsia="Times New Roman" w:hAnsi="Calibri" w:cs="Arial"/>
                <w:sz w:val="24"/>
                <w:szCs w:val="24"/>
                <w:lang w:eastAsia="fr-FR"/>
              </w:rPr>
            </w:pPr>
          </w:p>
        </w:tc>
      </w:tr>
      <w:tr w:rsidR="00B02643" w:rsidRPr="00343AF3" w:rsidTr="005F6C4E">
        <w:trPr>
          <w:trHeight w:val="255"/>
        </w:trPr>
        <w:tc>
          <w:tcPr>
            <w:tcW w:w="910" w:type="dxa"/>
            <w:tcBorders>
              <w:top w:val="nil"/>
              <w:left w:val="single" w:sz="4" w:space="0" w:color="auto"/>
              <w:bottom w:val="nil"/>
              <w:right w:val="nil"/>
            </w:tcBorders>
            <w:shd w:val="clear" w:color="auto" w:fill="auto"/>
            <w:noWrap/>
            <w:vAlign w:val="bottom"/>
            <w:hideMark/>
          </w:tcPr>
          <w:p w:rsidR="00B02643" w:rsidRPr="00343AF3" w:rsidRDefault="00B02643" w:rsidP="00B02643">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2003</w:t>
            </w:r>
          </w:p>
        </w:tc>
        <w:tc>
          <w:tcPr>
            <w:tcW w:w="1501" w:type="dxa"/>
            <w:tcBorders>
              <w:top w:val="nil"/>
              <w:left w:val="single" w:sz="4" w:space="0" w:color="auto"/>
              <w:bottom w:val="nil"/>
              <w:right w:val="single" w:sz="4" w:space="0" w:color="auto"/>
            </w:tcBorders>
            <w:shd w:val="clear" w:color="auto" w:fill="auto"/>
            <w:noWrap/>
            <w:vAlign w:val="bottom"/>
            <w:hideMark/>
          </w:tcPr>
          <w:p w:rsidR="00B02643" w:rsidRPr="00343AF3" w:rsidRDefault="00B02643" w:rsidP="00B02643">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33 580</w:t>
            </w:r>
          </w:p>
        </w:tc>
        <w:tc>
          <w:tcPr>
            <w:tcW w:w="1390" w:type="dxa"/>
            <w:tcBorders>
              <w:top w:val="nil"/>
              <w:left w:val="nil"/>
              <w:bottom w:val="nil"/>
              <w:right w:val="single" w:sz="4" w:space="0" w:color="auto"/>
            </w:tcBorders>
            <w:shd w:val="clear" w:color="auto" w:fill="auto"/>
            <w:noWrap/>
            <w:vAlign w:val="bottom"/>
            <w:hideMark/>
          </w:tcPr>
          <w:p w:rsidR="00B02643" w:rsidRPr="00343AF3" w:rsidRDefault="00B02643" w:rsidP="00B02643">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28 320</w:t>
            </w:r>
          </w:p>
        </w:tc>
        <w:tc>
          <w:tcPr>
            <w:tcW w:w="4114" w:type="dxa"/>
            <w:tcBorders>
              <w:top w:val="nil"/>
              <w:left w:val="nil"/>
              <w:bottom w:val="nil"/>
              <w:right w:val="nil"/>
            </w:tcBorders>
            <w:shd w:val="clear" w:color="auto" w:fill="auto"/>
            <w:noWrap/>
            <w:vAlign w:val="bottom"/>
            <w:hideMark/>
          </w:tcPr>
          <w:p w:rsidR="00B02643" w:rsidRPr="00343AF3" w:rsidRDefault="00B02643" w:rsidP="00B02643">
            <w:pPr>
              <w:spacing w:line="240" w:lineRule="auto"/>
              <w:rPr>
                <w:rFonts w:ascii="Calibri" w:eastAsia="Times New Roman" w:hAnsi="Calibri" w:cs="Arial"/>
                <w:sz w:val="24"/>
                <w:szCs w:val="24"/>
                <w:lang w:eastAsia="fr-FR"/>
              </w:rPr>
            </w:pPr>
          </w:p>
        </w:tc>
      </w:tr>
      <w:tr w:rsidR="00B02643" w:rsidRPr="00343AF3" w:rsidTr="005F6C4E">
        <w:trPr>
          <w:trHeight w:val="255"/>
        </w:trPr>
        <w:tc>
          <w:tcPr>
            <w:tcW w:w="910" w:type="dxa"/>
            <w:tcBorders>
              <w:top w:val="nil"/>
              <w:left w:val="single" w:sz="4" w:space="0" w:color="auto"/>
              <w:bottom w:val="nil"/>
              <w:right w:val="nil"/>
            </w:tcBorders>
            <w:shd w:val="clear" w:color="auto" w:fill="auto"/>
            <w:noWrap/>
            <w:vAlign w:val="bottom"/>
            <w:hideMark/>
          </w:tcPr>
          <w:p w:rsidR="00B02643" w:rsidRPr="00343AF3" w:rsidRDefault="00B02643" w:rsidP="00B02643">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2004</w:t>
            </w:r>
          </w:p>
        </w:tc>
        <w:tc>
          <w:tcPr>
            <w:tcW w:w="1501" w:type="dxa"/>
            <w:tcBorders>
              <w:top w:val="nil"/>
              <w:left w:val="single" w:sz="4" w:space="0" w:color="auto"/>
              <w:bottom w:val="nil"/>
              <w:right w:val="single" w:sz="4" w:space="0" w:color="auto"/>
            </w:tcBorders>
            <w:shd w:val="clear" w:color="auto" w:fill="auto"/>
            <w:noWrap/>
            <w:vAlign w:val="bottom"/>
            <w:hideMark/>
          </w:tcPr>
          <w:p w:rsidR="00B02643" w:rsidRPr="00343AF3" w:rsidRDefault="00B02643" w:rsidP="00B02643">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33 360</w:t>
            </w:r>
          </w:p>
        </w:tc>
        <w:tc>
          <w:tcPr>
            <w:tcW w:w="1390" w:type="dxa"/>
            <w:tcBorders>
              <w:top w:val="nil"/>
              <w:left w:val="nil"/>
              <w:bottom w:val="nil"/>
              <w:right w:val="single" w:sz="4" w:space="0" w:color="auto"/>
            </w:tcBorders>
            <w:shd w:val="clear" w:color="auto" w:fill="auto"/>
            <w:noWrap/>
            <w:vAlign w:val="bottom"/>
            <w:hideMark/>
          </w:tcPr>
          <w:p w:rsidR="00B02643" w:rsidRPr="00343AF3" w:rsidRDefault="00B02643" w:rsidP="00B02643">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28 100</w:t>
            </w:r>
          </w:p>
        </w:tc>
        <w:tc>
          <w:tcPr>
            <w:tcW w:w="4114" w:type="dxa"/>
            <w:tcBorders>
              <w:top w:val="nil"/>
              <w:left w:val="nil"/>
              <w:bottom w:val="nil"/>
              <w:right w:val="nil"/>
            </w:tcBorders>
            <w:shd w:val="clear" w:color="auto" w:fill="auto"/>
            <w:noWrap/>
            <w:vAlign w:val="bottom"/>
            <w:hideMark/>
          </w:tcPr>
          <w:p w:rsidR="00B02643" w:rsidRPr="00343AF3" w:rsidRDefault="00B02643" w:rsidP="00B02643">
            <w:pPr>
              <w:spacing w:line="240" w:lineRule="auto"/>
              <w:rPr>
                <w:rFonts w:ascii="Calibri" w:eastAsia="Times New Roman" w:hAnsi="Calibri" w:cs="Arial"/>
                <w:sz w:val="24"/>
                <w:szCs w:val="24"/>
                <w:lang w:eastAsia="fr-FR"/>
              </w:rPr>
            </w:pPr>
          </w:p>
        </w:tc>
      </w:tr>
      <w:tr w:rsidR="00B02643" w:rsidRPr="00343AF3" w:rsidTr="005F6C4E">
        <w:trPr>
          <w:trHeight w:val="255"/>
        </w:trPr>
        <w:tc>
          <w:tcPr>
            <w:tcW w:w="910" w:type="dxa"/>
            <w:tcBorders>
              <w:top w:val="nil"/>
              <w:left w:val="single" w:sz="4" w:space="0" w:color="auto"/>
              <w:bottom w:val="nil"/>
              <w:right w:val="nil"/>
            </w:tcBorders>
            <w:shd w:val="clear" w:color="auto" w:fill="auto"/>
            <w:noWrap/>
            <w:vAlign w:val="bottom"/>
            <w:hideMark/>
          </w:tcPr>
          <w:p w:rsidR="00B02643" w:rsidRPr="00343AF3" w:rsidRDefault="00B02643" w:rsidP="00B02643">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2005</w:t>
            </w:r>
          </w:p>
        </w:tc>
        <w:tc>
          <w:tcPr>
            <w:tcW w:w="1501" w:type="dxa"/>
            <w:tcBorders>
              <w:top w:val="nil"/>
              <w:left w:val="single" w:sz="4" w:space="0" w:color="auto"/>
              <w:bottom w:val="nil"/>
              <w:right w:val="single" w:sz="4" w:space="0" w:color="auto"/>
            </w:tcBorders>
            <w:shd w:val="clear" w:color="auto" w:fill="auto"/>
            <w:noWrap/>
            <w:vAlign w:val="bottom"/>
            <w:hideMark/>
          </w:tcPr>
          <w:p w:rsidR="00B02643" w:rsidRPr="00343AF3" w:rsidRDefault="00B02643" w:rsidP="00B02643">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33 620</w:t>
            </w:r>
          </w:p>
        </w:tc>
        <w:tc>
          <w:tcPr>
            <w:tcW w:w="1390" w:type="dxa"/>
            <w:tcBorders>
              <w:top w:val="nil"/>
              <w:left w:val="nil"/>
              <w:bottom w:val="nil"/>
              <w:right w:val="single" w:sz="4" w:space="0" w:color="auto"/>
            </w:tcBorders>
            <w:shd w:val="clear" w:color="auto" w:fill="auto"/>
            <w:noWrap/>
            <w:vAlign w:val="bottom"/>
            <w:hideMark/>
          </w:tcPr>
          <w:p w:rsidR="00B02643" w:rsidRPr="00343AF3" w:rsidRDefault="00B02643" w:rsidP="00B02643">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28 230</w:t>
            </w:r>
          </w:p>
        </w:tc>
        <w:tc>
          <w:tcPr>
            <w:tcW w:w="4114" w:type="dxa"/>
            <w:tcBorders>
              <w:top w:val="nil"/>
              <w:left w:val="nil"/>
              <w:bottom w:val="nil"/>
              <w:right w:val="nil"/>
            </w:tcBorders>
            <w:shd w:val="clear" w:color="auto" w:fill="auto"/>
            <w:noWrap/>
            <w:vAlign w:val="bottom"/>
            <w:hideMark/>
          </w:tcPr>
          <w:p w:rsidR="00B02643" w:rsidRPr="00343AF3" w:rsidRDefault="00B02643" w:rsidP="00B02643">
            <w:pPr>
              <w:spacing w:line="240" w:lineRule="auto"/>
              <w:rPr>
                <w:rFonts w:ascii="Calibri" w:eastAsia="Times New Roman" w:hAnsi="Calibri" w:cs="Arial"/>
                <w:sz w:val="24"/>
                <w:szCs w:val="24"/>
                <w:lang w:eastAsia="fr-FR"/>
              </w:rPr>
            </w:pPr>
          </w:p>
        </w:tc>
      </w:tr>
      <w:tr w:rsidR="00B02643" w:rsidRPr="00343AF3" w:rsidTr="005F6C4E">
        <w:trPr>
          <w:trHeight w:val="255"/>
        </w:trPr>
        <w:tc>
          <w:tcPr>
            <w:tcW w:w="910" w:type="dxa"/>
            <w:tcBorders>
              <w:top w:val="nil"/>
              <w:left w:val="single" w:sz="4" w:space="0" w:color="auto"/>
              <w:bottom w:val="nil"/>
              <w:right w:val="nil"/>
            </w:tcBorders>
            <w:shd w:val="clear" w:color="auto" w:fill="auto"/>
            <w:noWrap/>
            <w:vAlign w:val="bottom"/>
            <w:hideMark/>
          </w:tcPr>
          <w:p w:rsidR="00B02643" w:rsidRPr="00343AF3" w:rsidRDefault="00B02643" w:rsidP="00B02643">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2006</w:t>
            </w:r>
          </w:p>
        </w:tc>
        <w:tc>
          <w:tcPr>
            <w:tcW w:w="1501" w:type="dxa"/>
            <w:tcBorders>
              <w:top w:val="nil"/>
              <w:left w:val="single" w:sz="4" w:space="0" w:color="auto"/>
              <w:bottom w:val="nil"/>
              <w:right w:val="single" w:sz="4" w:space="0" w:color="auto"/>
            </w:tcBorders>
            <w:shd w:val="clear" w:color="auto" w:fill="auto"/>
            <w:noWrap/>
            <w:vAlign w:val="bottom"/>
            <w:hideMark/>
          </w:tcPr>
          <w:p w:rsidR="00B02643" w:rsidRPr="00343AF3" w:rsidRDefault="00B02643" w:rsidP="00B02643">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34 250</w:t>
            </w:r>
          </w:p>
        </w:tc>
        <w:tc>
          <w:tcPr>
            <w:tcW w:w="1390" w:type="dxa"/>
            <w:tcBorders>
              <w:top w:val="nil"/>
              <w:left w:val="nil"/>
              <w:bottom w:val="nil"/>
              <w:right w:val="single" w:sz="4" w:space="0" w:color="auto"/>
            </w:tcBorders>
            <w:shd w:val="clear" w:color="auto" w:fill="auto"/>
            <w:noWrap/>
            <w:vAlign w:val="bottom"/>
            <w:hideMark/>
          </w:tcPr>
          <w:p w:rsidR="00B02643" w:rsidRPr="00343AF3" w:rsidRDefault="00B02643" w:rsidP="00B02643">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28 610</w:t>
            </w:r>
          </w:p>
        </w:tc>
        <w:tc>
          <w:tcPr>
            <w:tcW w:w="4114" w:type="dxa"/>
            <w:tcBorders>
              <w:top w:val="nil"/>
              <w:left w:val="nil"/>
              <w:bottom w:val="nil"/>
              <w:right w:val="nil"/>
            </w:tcBorders>
            <w:shd w:val="clear" w:color="auto" w:fill="auto"/>
            <w:noWrap/>
            <w:vAlign w:val="bottom"/>
            <w:hideMark/>
          </w:tcPr>
          <w:p w:rsidR="00B02643" w:rsidRPr="00343AF3" w:rsidRDefault="00B02643" w:rsidP="00B02643">
            <w:pPr>
              <w:spacing w:line="240" w:lineRule="auto"/>
              <w:rPr>
                <w:rFonts w:ascii="Calibri" w:eastAsia="Times New Roman" w:hAnsi="Calibri" w:cs="Arial"/>
                <w:sz w:val="24"/>
                <w:szCs w:val="24"/>
                <w:lang w:eastAsia="fr-FR"/>
              </w:rPr>
            </w:pPr>
          </w:p>
        </w:tc>
      </w:tr>
      <w:tr w:rsidR="00B02643" w:rsidRPr="00343AF3" w:rsidTr="005F6C4E">
        <w:trPr>
          <w:trHeight w:val="255"/>
        </w:trPr>
        <w:tc>
          <w:tcPr>
            <w:tcW w:w="910" w:type="dxa"/>
            <w:tcBorders>
              <w:top w:val="nil"/>
              <w:left w:val="single" w:sz="4" w:space="0" w:color="auto"/>
              <w:bottom w:val="nil"/>
              <w:right w:val="nil"/>
            </w:tcBorders>
            <w:shd w:val="clear" w:color="auto" w:fill="auto"/>
            <w:noWrap/>
            <w:vAlign w:val="bottom"/>
            <w:hideMark/>
          </w:tcPr>
          <w:p w:rsidR="00B02643" w:rsidRPr="00343AF3" w:rsidRDefault="00B02643" w:rsidP="00B02643">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2007</w:t>
            </w:r>
          </w:p>
        </w:tc>
        <w:tc>
          <w:tcPr>
            <w:tcW w:w="1501" w:type="dxa"/>
            <w:tcBorders>
              <w:top w:val="nil"/>
              <w:left w:val="single" w:sz="4" w:space="0" w:color="auto"/>
              <w:bottom w:val="nil"/>
              <w:right w:val="single" w:sz="4" w:space="0" w:color="auto"/>
            </w:tcBorders>
            <w:shd w:val="clear" w:color="auto" w:fill="auto"/>
            <w:noWrap/>
            <w:vAlign w:val="bottom"/>
            <w:hideMark/>
          </w:tcPr>
          <w:p w:rsidR="00B02643" w:rsidRPr="00343AF3" w:rsidRDefault="00B02643" w:rsidP="00B02643">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34 590</w:t>
            </w:r>
          </w:p>
        </w:tc>
        <w:tc>
          <w:tcPr>
            <w:tcW w:w="1390" w:type="dxa"/>
            <w:tcBorders>
              <w:top w:val="nil"/>
              <w:left w:val="nil"/>
              <w:bottom w:val="nil"/>
              <w:right w:val="single" w:sz="4" w:space="0" w:color="auto"/>
            </w:tcBorders>
            <w:shd w:val="clear" w:color="auto" w:fill="auto"/>
            <w:noWrap/>
            <w:vAlign w:val="bottom"/>
            <w:hideMark/>
          </w:tcPr>
          <w:p w:rsidR="00B02643" w:rsidRPr="00343AF3" w:rsidRDefault="00B02643" w:rsidP="00B02643">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28 870</w:t>
            </w:r>
          </w:p>
        </w:tc>
        <w:tc>
          <w:tcPr>
            <w:tcW w:w="4114" w:type="dxa"/>
            <w:tcBorders>
              <w:top w:val="nil"/>
              <w:left w:val="nil"/>
              <w:bottom w:val="nil"/>
              <w:right w:val="nil"/>
            </w:tcBorders>
            <w:shd w:val="clear" w:color="auto" w:fill="auto"/>
            <w:noWrap/>
            <w:vAlign w:val="bottom"/>
            <w:hideMark/>
          </w:tcPr>
          <w:p w:rsidR="00B02643" w:rsidRPr="00343AF3" w:rsidRDefault="00B02643" w:rsidP="00B02643">
            <w:pPr>
              <w:spacing w:line="240" w:lineRule="auto"/>
              <w:rPr>
                <w:rFonts w:ascii="Calibri" w:eastAsia="Times New Roman" w:hAnsi="Calibri" w:cs="Arial"/>
                <w:sz w:val="24"/>
                <w:szCs w:val="24"/>
                <w:lang w:eastAsia="fr-FR"/>
              </w:rPr>
            </w:pPr>
          </w:p>
        </w:tc>
      </w:tr>
      <w:tr w:rsidR="00B02643" w:rsidRPr="00343AF3" w:rsidTr="005F6C4E">
        <w:trPr>
          <w:trHeight w:val="255"/>
        </w:trPr>
        <w:tc>
          <w:tcPr>
            <w:tcW w:w="910" w:type="dxa"/>
            <w:tcBorders>
              <w:top w:val="nil"/>
              <w:left w:val="single" w:sz="4" w:space="0" w:color="auto"/>
              <w:bottom w:val="nil"/>
              <w:right w:val="nil"/>
            </w:tcBorders>
            <w:shd w:val="clear" w:color="auto" w:fill="auto"/>
            <w:noWrap/>
            <w:vAlign w:val="bottom"/>
            <w:hideMark/>
          </w:tcPr>
          <w:p w:rsidR="00B02643" w:rsidRPr="00343AF3" w:rsidRDefault="00B02643" w:rsidP="00B02643">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2008</w:t>
            </w:r>
          </w:p>
        </w:tc>
        <w:tc>
          <w:tcPr>
            <w:tcW w:w="1501" w:type="dxa"/>
            <w:tcBorders>
              <w:top w:val="nil"/>
              <w:left w:val="single" w:sz="4" w:space="0" w:color="auto"/>
              <w:bottom w:val="nil"/>
              <w:right w:val="single" w:sz="4" w:space="0" w:color="auto"/>
            </w:tcBorders>
            <w:shd w:val="clear" w:color="auto" w:fill="auto"/>
            <w:noWrap/>
            <w:vAlign w:val="bottom"/>
            <w:hideMark/>
          </w:tcPr>
          <w:p w:rsidR="00B02643" w:rsidRPr="00343AF3" w:rsidRDefault="00B02643" w:rsidP="00B02643">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35 000</w:t>
            </w:r>
          </w:p>
        </w:tc>
        <w:tc>
          <w:tcPr>
            <w:tcW w:w="1390" w:type="dxa"/>
            <w:tcBorders>
              <w:top w:val="nil"/>
              <w:left w:val="nil"/>
              <w:bottom w:val="nil"/>
              <w:right w:val="single" w:sz="4" w:space="0" w:color="auto"/>
            </w:tcBorders>
            <w:shd w:val="clear" w:color="auto" w:fill="auto"/>
            <w:noWrap/>
            <w:vAlign w:val="bottom"/>
            <w:hideMark/>
          </w:tcPr>
          <w:p w:rsidR="00B02643" w:rsidRPr="00343AF3" w:rsidRDefault="00B02643" w:rsidP="00B02643">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29 030</w:t>
            </w:r>
          </w:p>
        </w:tc>
        <w:tc>
          <w:tcPr>
            <w:tcW w:w="4114" w:type="dxa"/>
            <w:tcBorders>
              <w:top w:val="nil"/>
              <w:left w:val="nil"/>
              <w:bottom w:val="nil"/>
              <w:right w:val="nil"/>
            </w:tcBorders>
            <w:shd w:val="clear" w:color="auto" w:fill="auto"/>
            <w:noWrap/>
            <w:vAlign w:val="bottom"/>
            <w:hideMark/>
          </w:tcPr>
          <w:p w:rsidR="00B02643" w:rsidRPr="00343AF3" w:rsidRDefault="00B02643" w:rsidP="00B02643">
            <w:pPr>
              <w:spacing w:line="240" w:lineRule="auto"/>
              <w:rPr>
                <w:rFonts w:ascii="Calibri" w:eastAsia="Times New Roman" w:hAnsi="Calibri" w:cs="Arial"/>
                <w:sz w:val="24"/>
                <w:szCs w:val="24"/>
                <w:lang w:eastAsia="fr-FR"/>
              </w:rPr>
            </w:pPr>
          </w:p>
        </w:tc>
      </w:tr>
      <w:tr w:rsidR="00B02643" w:rsidRPr="00343AF3" w:rsidTr="005F6C4E">
        <w:trPr>
          <w:trHeight w:val="255"/>
        </w:trPr>
        <w:tc>
          <w:tcPr>
            <w:tcW w:w="910" w:type="dxa"/>
            <w:tcBorders>
              <w:top w:val="nil"/>
              <w:left w:val="single" w:sz="4" w:space="0" w:color="auto"/>
              <w:bottom w:val="nil"/>
              <w:right w:val="nil"/>
            </w:tcBorders>
            <w:shd w:val="clear" w:color="auto" w:fill="auto"/>
            <w:noWrap/>
            <w:vAlign w:val="bottom"/>
            <w:hideMark/>
          </w:tcPr>
          <w:p w:rsidR="00B02643" w:rsidRPr="00343AF3" w:rsidRDefault="00B02643" w:rsidP="00B02643">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2009</w:t>
            </w:r>
          </w:p>
        </w:tc>
        <w:tc>
          <w:tcPr>
            <w:tcW w:w="1501" w:type="dxa"/>
            <w:tcBorders>
              <w:top w:val="nil"/>
              <w:left w:val="single" w:sz="4" w:space="0" w:color="auto"/>
              <w:bottom w:val="nil"/>
              <w:right w:val="single" w:sz="4" w:space="0" w:color="auto"/>
            </w:tcBorders>
            <w:shd w:val="clear" w:color="auto" w:fill="auto"/>
            <w:noWrap/>
            <w:vAlign w:val="bottom"/>
            <w:hideMark/>
          </w:tcPr>
          <w:p w:rsidR="00B02643" w:rsidRPr="00343AF3" w:rsidRDefault="00B02643" w:rsidP="00B02643">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35 050</w:t>
            </w:r>
          </w:p>
        </w:tc>
        <w:tc>
          <w:tcPr>
            <w:tcW w:w="1390" w:type="dxa"/>
            <w:tcBorders>
              <w:top w:val="nil"/>
              <w:left w:val="nil"/>
              <w:bottom w:val="nil"/>
              <w:right w:val="single" w:sz="4" w:space="0" w:color="auto"/>
            </w:tcBorders>
            <w:shd w:val="clear" w:color="auto" w:fill="auto"/>
            <w:noWrap/>
            <w:vAlign w:val="bottom"/>
            <w:hideMark/>
          </w:tcPr>
          <w:p w:rsidR="00B02643" w:rsidRPr="00343AF3" w:rsidRDefault="00B02643" w:rsidP="00B02643">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29 170</w:t>
            </w:r>
          </w:p>
        </w:tc>
        <w:tc>
          <w:tcPr>
            <w:tcW w:w="4114" w:type="dxa"/>
            <w:tcBorders>
              <w:top w:val="nil"/>
              <w:left w:val="nil"/>
              <w:bottom w:val="nil"/>
              <w:right w:val="nil"/>
            </w:tcBorders>
            <w:shd w:val="clear" w:color="auto" w:fill="auto"/>
            <w:noWrap/>
            <w:vAlign w:val="bottom"/>
            <w:hideMark/>
          </w:tcPr>
          <w:p w:rsidR="00B02643" w:rsidRPr="00343AF3" w:rsidRDefault="00B02643" w:rsidP="00B02643">
            <w:pPr>
              <w:spacing w:line="240" w:lineRule="auto"/>
              <w:rPr>
                <w:rFonts w:ascii="Calibri" w:eastAsia="Times New Roman" w:hAnsi="Calibri" w:cs="Arial"/>
                <w:sz w:val="24"/>
                <w:szCs w:val="24"/>
                <w:lang w:eastAsia="fr-FR"/>
              </w:rPr>
            </w:pPr>
          </w:p>
        </w:tc>
      </w:tr>
      <w:tr w:rsidR="00B02643" w:rsidRPr="00343AF3" w:rsidTr="005F6C4E">
        <w:trPr>
          <w:trHeight w:val="255"/>
        </w:trPr>
        <w:tc>
          <w:tcPr>
            <w:tcW w:w="910" w:type="dxa"/>
            <w:tcBorders>
              <w:top w:val="nil"/>
              <w:left w:val="single" w:sz="4" w:space="0" w:color="auto"/>
              <w:bottom w:val="single" w:sz="4" w:space="0" w:color="auto"/>
              <w:right w:val="nil"/>
            </w:tcBorders>
            <w:shd w:val="clear" w:color="auto" w:fill="auto"/>
            <w:noWrap/>
            <w:vAlign w:val="bottom"/>
            <w:hideMark/>
          </w:tcPr>
          <w:p w:rsidR="00B02643" w:rsidRPr="00343AF3" w:rsidRDefault="00B02643" w:rsidP="00B02643">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2010</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B02643" w:rsidRPr="00343AF3" w:rsidRDefault="00B02643" w:rsidP="00B02643">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35 220</w:t>
            </w:r>
          </w:p>
        </w:tc>
        <w:tc>
          <w:tcPr>
            <w:tcW w:w="1390" w:type="dxa"/>
            <w:tcBorders>
              <w:top w:val="nil"/>
              <w:left w:val="nil"/>
              <w:bottom w:val="single" w:sz="4" w:space="0" w:color="auto"/>
              <w:right w:val="single" w:sz="4" w:space="0" w:color="auto"/>
            </w:tcBorders>
            <w:shd w:val="clear" w:color="auto" w:fill="auto"/>
            <w:noWrap/>
            <w:vAlign w:val="bottom"/>
            <w:hideMark/>
          </w:tcPr>
          <w:p w:rsidR="00B02643" w:rsidRPr="00343AF3" w:rsidRDefault="00B02643" w:rsidP="00B02643">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28 910</w:t>
            </w:r>
          </w:p>
        </w:tc>
        <w:tc>
          <w:tcPr>
            <w:tcW w:w="4114" w:type="dxa"/>
            <w:tcBorders>
              <w:top w:val="nil"/>
              <w:left w:val="nil"/>
              <w:bottom w:val="nil"/>
              <w:right w:val="nil"/>
            </w:tcBorders>
            <w:shd w:val="clear" w:color="auto" w:fill="auto"/>
            <w:noWrap/>
            <w:vAlign w:val="bottom"/>
            <w:hideMark/>
          </w:tcPr>
          <w:p w:rsidR="00B02643" w:rsidRPr="00343AF3" w:rsidRDefault="00B02643" w:rsidP="00B02643">
            <w:pPr>
              <w:spacing w:line="240" w:lineRule="auto"/>
              <w:rPr>
                <w:rFonts w:ascii="Calibri" w:eastAsia="Times New Roman" w:hAnsi="Calibri" w:cs="Arial"/>
                <w:sz w:val="24"/>
                <w:szCs w:val="24"/>
                <w:lang w:eastAsia="fr-FR"/>
              </w:rPr>
            </w:pPr>
          </w:p>
        </w:tc>
      </w:tr>
      <w:tr w:rsidR="00B02643" w:rsidRPr="00343AF3" w:rsidTr="005F6C4E">
        <w:trPr>
          <w:trHeight w:val="675"/>
        </w:trPr>
        <w:tc>
          <w:tcPr>
            <w:tcW w:w="7915" w:type="dxa"/>
            <w:gridSpan w:val="4"/>
            <w:tcBorders>
              <w:top w:val="nil"/>
              <w:left w:val="nil"/>
              <w:bottom w:val="nil"/>
              <w:right w:val="nil"/>
            </w:tcBorders>
            <w:shd w:val="clear" w:color="auto" w:fill="auto"/>
            <w:vAlign w:val="bottom"/>
            <w:hideMark/>
          </w:tcPr>
          <w:p w:rsidR="00B02643" w:rsidRPr="00343AF3" w:rsidRDefault="00B02643" w:rsidP="00EF332F">
            <w:pPr>
              <w:spacing w:line="240" w:lineRule="auto"/>
              <w:jc w:val="both"/>
              <w:rPr>
                <w:rFonts w:ascii="Calibri" w:eastAsia="Times New Roman" w:hAnsi="Calibri" w:cs="Arial"/>
                <w:sz w:val="24"/>
                <w:szCs w:val="24"/>
                <w:lang w:eastAsia="fr-FR"/>
              </w:rPr>
            </w:pPr>
            <w:bookmarkStart w:id="8" w:name="RANGE!A24"/>
            <w:r w:rsidRPr="005F6C4E">
              <w:rPr>
                <w:rFonts w:ascii="Calibri" w:eastAsia="Times New Roman" w:hAnsi="Calibri" w:cs="Arial"/>
                <w:i/>
                <w:sz w:val="24"/>
                <w:szCs w:val="24"/>
                <w:lang w:eastAsia="fr-FR"/>
              </w:rPr>
              <w:t>Champ</w:t>
            </w:r>
            <w:r w:rsidRPr="00343AF3">
              <w:rPr>
                <w:rFonts w:ascii="Calibri" w:eastAsia="Times New Roman" w:hAnsi="Calibri" w:cs="Arial"/>
                <w:sz w:val="24"/>
                <w:szCs w:val="24"/>
                <w:lang w:eastAsia="fr-FR"/>
              </w:rPr>
              <w:t xml:space="preserve"> : France métropolitaine, ménage dont le revenu déclaré au fisc est positif ou nul et dont la personne de référence n'est pas étudiante</w:t>
            </w:r>
            <w:bookmarkEnd w:id="8"/>
          </w:p>
        </w:tc>
      </w:tr>
      <w:tr w:rsidR="00B02643" w:rsidRPr="00343AF3" w:rsidTr="005F6C4E">
        <w:trPr>
          <w:trHeight w:val="293"/>
        </w:trPr>
        <w:tc>
          <w:tcPr>
            <w:tcW w:w="7915" w:type="dxa"/>
            <w:gridSpan w:val="4"/>
            <w:vMerge w:val="restart"/>
            <w:tcBorders>
              <w:top w:val="nil"/>
              <w:left w:val="nil"/>
              <w:bottom w:val="nil"/>
              <w:right w:val="nil"/>
            </w:tcBorders>
            <w:shd w:val="clear" w:color="auto" w:fill="auto"/>
            <w:vAlign w:val="bottom"/>
            <w:hideMark/>
          </w:tcPr>
          <w:p w:rsidR="00B02643" w:rsidRPr="00343AF3" w:rsidRDefault="00B02643" w:rsidP="00EF332F">
            <w:pPr>
              <w:spacing w:line="240" w:lineRule="auto"/>
              <w:jc w:val="both"/>
              <w:rPr>
                <w:rFonts w:ascii="Calibri" w:eastAsia="Times New Roman" w:hAnsi="Calibri" w:cs="Arial"/>
                <w:sz w:val="24"/>
                <w:szCs w:val="24"/>
                <w:lang w:eastAsia="fr-FR"/>
              </w:rPr>
            </w:pPr>
            <w:bookmarkStart w:id="9" w:name="RANGE!A25"/>
            <w:r w:rsidRPr="005F6C4E">
              <w:rPr>
                <w:rFonts w:ascii="Calibri" w:eastAsia="Times New Roman" w:hAnsi="Calibri" w:cs="Arial"/>
                <w:i/>
                <w:sz w:val="24"/>
                <w:szCs w:val="24"/>
                <w:lang w:eastAsia="fr-FR"/>
              </w:rPr>
              <w:t>Sources</w:t>
            </w:r>
            <w:r w:rsidRPr="00343AF3">
              <w:rPr>
                <w:rFonts w:ascii="Calibri" w:eastAsia="Times New Roman" w:hAnsi="Calibri" w:cs="Arial"/>
                <w:sz w:val="24"/>
                <w:szCs w:val="24"/>
                <w:lang w:eastAsia="fr-FR"/>
              </w:rPr>
              <w:t xml:space="preserve"> : Insee-DGI, enquêtes Revenus fiscaux 1970 à 1990, Insee-DGI, enquêtes Revenus fiscaux et sociaux </w:t>
            </w:r>
            <w:proofErr w:type="spellStart"/>
            <w:r w:rsidRPr="00343AF3">
              <w:rPr>
                <w:rFonts w:ascii="Calibri" w:eastAsia="Times New Roman" w:hAnsi="Calibri" w:cs="Arial"/>
                <w:sz w:val="24"/>
                <w:szCs w:val="24"/>
                <w:lang w:eastAsia="fr-FR"/>
              </w:rPr>
              <w:t>rétropolées</w:t>
            </w:r>
            <w:proofErr w:type="spellEnd"/>
            <w:r w:rsidRPr="00343AF3">
              <w:rPr>
                <w:rFonts w:ascii="Calibri" w:eastAsia="Times New Roman" w:hAnsi="Calibri" w:cs="Arial"/>
                <w:sz w:val="24"/>
                <w:szCs w:val="24"/>
                <w:lang w:eastAsia="fr-FR"/>
              </w:rPr>
              <w:t xml:space="preserve"> 1996 à 2004, Insee-</w:t>
            </w:r>
            <w:proofErr w:type="spellStart"/>
            <w:r w:rsidRPr="00343AF3">
              <w:rPr>
                <w:rFonts w:ascii="Calibri" w:eastAsia="Times New Roman" w:hAnsi="Calibri" w:cs="Arial"/>
                <w:sz w:val="24"/>
                <w:szCs w:val="24"/>
                <w:lang w:eastAsia="fr-FR"/>
              </w:rPr>
              <w:t>DGFiP</w:t>
            </w:r>
            <w:proofErr w:type="spellEnd"/>
            <w:r w:rsidRPr="00343AF3">
              <w:rPr>
                <w:rFonts w:ascii="Calibri" w:eastAsia="Times New Roman" w:hAnsi="Calibri" w:cs="Arial"/>
                <w:sz w:val="24"/>
                <w:szCs w:val="24"/>
                <w:lang w:eastAsia="fr-FR"/>
              </w:rPr>
              <w:t>-</w:t>
            </w:r>
            <w:proofErr w:type="spellStart"/>
            <w:r w:rsidRPr="00343AF3">
              <w:rPr>
                <w:rFonts w:ascii="Calibri" w:eastAsia="Times New Roman" w:hAnsi="Calibri" w:cs="Arial"/>
                <w:sz w:val="24"/>
                <w:szCs w:val="24"/>
                <w:lang w:eastAsia="fr-FR"/>
              </w:rPr>
              <w:t>Cnaf</w:t>
            </w:r>
            <w:proofErr w:type="spellEnd"/>
            <w:r w:rsidRPr="00343AF3">
              <w:rPr>
                <w:rFonts w:ascii="Calibri" w:eastAsia="Times New Roman" w:hAnsi="Calibri" w:cs="Arial"/>
                <w:sz w:val="24"/>
                <w:szCs w:val="24"/>
                <w:lang w:eastAsia="fr-FR"/>
              </w:rPr>
              <w:t>-</w:t>
            </w:r>
            <w:proofErr w:type="spellStart"/>
            <w:r w:rsidRPr="00343AF3">
              <w:rPr>
                <w:rFonts w:ascii="Calibri" w:eastAsia="Times New Roman" w:hAnsi="Calibri" w:cs="Arial"/>
                <w:sz w:val="24"/>
                <w:szCs w:val="24"/>
                <w:lang w:eastAsia="fr-FR"/>
              </w:rPr>
              <w:t>Cnav</w:t>
            </w:r>
            <w:proofErr w:type="spellEnd"/>
            <w:r w:rsidRPr="00343AF3">
              <w:rPr>
                <w:rFonts w:ascii="Calibri" w:eastAsia="Times New Roman" w:hAnsi="Calibri" w:cs="Arial"/>
                <w:sz w:val="24"/>
                <w:szCs w:val="24"/>
                <w:lang w:eastAsia="fr-FR"/>
              </w:rPr>
              <w:t>-CCMSA, enquêtes Revenus fiscaux et sociaux de 2005 à 2010</w:t>
            </w:r>
            <w:bookmarkEnd w:id="9"/>
          </w:p>
        </w:tc>
      </w:tr>
      <w:tr w:rsidR="00B02643" w:rsidRPr="00343AF3" w:rsidTr="005F6C4E">
        <w:trPr>
          <w:trHeight w:val="293"/>
        </w:trPr>
        <w:tc>
          <w:tcPr>
            <w:tcW w:w="7915" w:type="dxa"/>
            <w:gridSpan w:val="4"/>
            <w:vMerge/>
            <w:tcBorders>
              <w:top w:val="nil"/>
              <w:left w:val="nil"/>
              <w:bottom w:val="nil"/>
              <w:right w:val="nil"/>
            </w:tcBorders>
            <w:vAlign w:val="center"/>
            <w:hideMark/>
          </w:tcPr>
          <w:p w:rsidR="00B02643" w:rsidRPr="00343AF3" w:rsidRDefault="00B02643" w:rsidP="00B02643">
            <w:pPr>
              <w:spacing w:line="240" w:lineRule="auto"/>
              <w:rPr>
                <w:rFonts w:ascii="Calibri" w:eastAsia="Times New Roman" w:hAnsi="Calibri" w:cs="Arial"/>
                <w:sz w:val="24"/>
                <w:szCs w:val="24"/>
                <w:lang w:eastAsia="fr-FR"/>
              </w:rPr>
            </w:pPr>
          </w:p>
        </w:tc>
      </w:tr>
    </w:tbl>
    <w:p w:rsidR="00150C78" w:rsidRDefault="00150C78" w:rsidP="001A0C05">
      <w:pPr>
        <w:spacing w:before="100" w:beforeAutospacing="1" w:after="100" w:afterAutospacing="1" w:line="240" w:lineRule="auto"/>
        <w:rPr>
          <w:rFonts w:ascii="Calibri" w:eastAsia="Times New Roman" w:hAnsi="Calibri" w:cs="Arial"/>
          <w:b/>
          <w:sz w:val="24"/>
          <w:szCs w:val="24"/>
          <w:lang w:eastAsia="fr-FR"/>
        </w:rPr>
      </w:pPr>
    </w:p>
    <w:p w:rsidR="001A0C05" w:rsidRPr="00E57833" w:rsidRDefault="001A0C05" w:rsidP="001A0C05">
      <w:pPr>
        <w:spacing w:before="100" w:beforeAutospacing="1" w:after="100" w:afterAutospacing="1" w:line="240" w:lineRule="auto"/>
        <w:rPr>
          <w:rFonts w:ascii="Calibri" w:eastAsia="Times New Roman" w:hAnsi="Calibri" w:cs="Arial"/>
          <w:b/>
          <w:sz w:val="24"/>
          <w:szCs w:val="24"/>
          <w:lang w:eastAsia="fr-FR"/>
        </w:rPr>
      </w:pPr>
      <w:r w:rsidRPr="00E57833">
        <w:rPr>
          <w:rFonts w:ascii="Calibri" w:eastAsia="Times New Roman" w:hAnsi="Calibri" w:cs="Arial"/>
          <w:b/>
          <w:sz w:val="24"/>
          <w:szCs w:val="24"/>
          <w:lang w:eastAsia="fr-FR"/>
        </w:rPr>
        <w:t xml:space="preserve">Les contributions au revenu et au pouvoir d'achat </w:t>
      </w:r>
    </w:p>
    <w:p w:rsidR="001A0C05" w:rsidRPr="00343AF3" w:rsidRDefault="00B02643" w:rsidP="001A0C05">
      <w:pPr>
        <w:spacing w:before="100" w:beforeAutospacing="1" w:after="100" w:afterAutospacing="1" w:line="240" w:lineRule="auto"/>
        <w:rPr>
          <w:rFonts w:ascii="Calibri" w:eastAsia="Times New Roman" w:hAnsi="Calibri" w:cs="Arial"/>
          <w:sz w:val="24"/>
          <w:szCs w:val="24"/>
          <w:lang w:eastAsia="fr-FR"/>
        </w:rPr>
      </w:pPr>
      <w:r w:rsidRPr="00343AF3">
        <w:rPr>
          <w:rFonts w:ascii="Calibri" w:eastAsia="Times New Roman" w:hAnsi="Calibri" w:cs="Arial"/>
          <w:noProof/>
          <w:sz w:val="24"/>
          <w:szCs w:val="24"/>
          <w:lang w:eastAsia="fr-FR"/>
        </w:rPr>
        <w:drawing>
          <wp:anchor distT="0" distB="0" distL="114300" distR="114300" simplePos="0" relativeHeight="251659264" behindDoc="1" locked="0" layoutInCell="1" allowOverlap="1" wp14:anchorId="2A8481B8" wp14:editId="387132AE">
            <wp:simplePos x="0" y="0"/>
            <wp:positionH relativeFrom="column">
              <wp:posOffset>619125</wp:posOffset>
            </wp:positionH>
            <wp:positionV relativeFrom="paragraph">
              <wp:posOffset>666750</wp:posOffset>
            </wp:positionV>
            <wp:extent cx="4726305" cy="4344670"/>
            <wp:effectExtent l="0" t="0" r="0" b="0"/>
            <wp:wrapTight wrapText="bothSides">
              <wp:wrapPolygon edited="0">
                <wp:start x="0" y="0"/>
                <wp:lineTo x="0" y="21499"/>
                <wp:lineTo x="21504" y="21499"/>
                <wp:lineTo x="21504" y="0"/>
                <wp:lineTo x="0" y="0"/>
              </wp:wrapPolygon>
            </wp:wrapTight>
            <wp:docPr id="14" name="Image 14" descr="C:\Users\mberrah\Desktop\Cerpeg\NATTEF0426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berrah\Desktop\Cerpeg\NATTEF04266.b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26305" cy="4344670"/>
                    </a:xfrm>
                    <a:prstGeom prst="rect">
                      <a:avLst/>
                    </a:prstGeom>
                    <a:noFill/>
                    <a:ln>
                      <a:noFill/>
                    </a:ln>
                  </pic:spPr>
                </pic:pic>
              </a:graphicData>
            </a:graphic>
          </wp:anchor>
        </w:drawing>
      </w:r>
      <w:r w:rsidR="001A0C05" w:rsidRPr="00343AF3">
        <w:rPr>
          <w:rFonts w:ascii="Calibri" w:eastAsia="Times New Roman" w:hAnsi="Calibri" w:cs="Arial"/>
          <w:sz w:val="24"/>
          <w:szCs w:val="24"/>
          <w:lang w:eastAsia="fr-FR"/>
        </w:rPr>
        <w:t>Le revenu moyen des ménages est lié aux transferts sociaux. La part des transferts sociaux (dont les retraites) représente près du tie</w:t>
      </w:r>
      <w:r w:rsidRPr="00343AF3">
        <w:rPr>
          <w:rFonts w:ascii="Calibri" w:eastAsia="Times New Roman" w:hAnsi="Calibri" w:cs="Arial"/>
          <w:sz w:val="24"/>
          <w:szCs w:val="24"/>
          <w:lang w:eastAsia="fr-FR"/>
        </w:rPr>
        <w:t>rs du revenu moyen des ménages. Depuis la crise de 2008 cette part a tendance à augmenter alors que la tendance était vers la baisse.</w:t>
      </w:r>
    </w:p>
    <w:p w:rsidR="00B02643" w:rsidRPr="00343AF3" w:rsidRDefault="00B02643" w:rsidP="001A0C05">
      <w:pPr>
        <w:spacing w:before="100" w:beforeAutospacing="1" w:after="100" w:afterAutospacing="1" w:line="240" w:lineRule="auto"/>
        <w:rPr>
          <w:rFonts w:ascii="Calibri" w:eastAsia="Times New Roman" w:hAnsi="Calibri" w:cs="Arial"/>
          <w:sz w:val="24"/>
          <w:szCs w:val="24"/>
          <w:lang w:eastAsia="fr-FR"/>
        </w:rPr>
      </w:pPr>
    </w:p>
    <w:p w:rsidR="00B02643" w:rsidRPr="00343AF3" w:rsidRDefault="00B02643" w:rsidP="001A0C05">
      <w:pPr>
        <w:spacing w:before="100" w:beforeAutospacing="1" w:after="100" w:afterAutospacing="1" w:line="240" w:lineRule="auto"/>
        <w:rPr>
          <w:rFonts w:ascii="Calibri" w:eastAsia="Times New Roman" w:hAnsi="Calibri" w:cs="Arial"/>
          <w:sz w:val="24"/>
          <w:szCs w:val="24"/>
          <w:lang w:eastAsia="fr-FR"/>
        </w:rPr>
      </w:pPr>
    </w:p>
    <w:p w:rsidR="00B02643" w:rsidRPr="00343AF3" w:rsidRDefault="00B02643" w:rsidP="001A0C05">
      <w:pPr>
        <w:spacing w:before="100" w:beforeAutospacing="1" w:after="100" w:afterAutospacing="1" w:line="240" w:lineRule="auto"/>
        <w:rPr>
          <w:rFonts w:ascii="Calibri" w:eastAsia="Times New Roman" w:hAnsi="Calibri" w:cs="Arial"/>
          <w:sz w:val="24"/>
          <w:szCs w:val="24"/>
          <w:lang w:eastAsia="fr-FR"/>
        </w:rPr>
      </w:pPr>
    </w:p>
    <w:p w:rsidR="00B02643" w:rsidRPr="00343AF3" w:rsidRDefault="00B02643" w:rsidP="001A0C05">
      <w:pPr>
        <w:spacing w:before="100" w:beforeAutospacing="1" w:after="100" w:afterAutospacing="1" w:line="240" w:lineRule="auto"/>
        <w:rPr>
          <w:rFonts w:ascii="Calibri" w:eastAsia="Times New Roman" w:hAnsi="Calibri" w:cs="Arial"/>
          <w:sz w:val="24"/>
          <w:szCs w:val="24"/>
          <w:lang w:eastAsia="fr-FR"/>
        </w:rPr>
      </w:pPr>
    </w:p>
    <w:p w:rsidR="00B02643" w:rsidRPr="00343AF3" w:rsidRDefault="00B02643" w:rsidP="001A0C05">
      <w:pPr>
        <w:spacing w:before="100" w:beforeAutospacing="1" w:after="100" w:afterAutospacing="1" w:line="240" w:lineRule="auto"/>
        <w:rPr>
          <w:rFonts w:ascii="Calibri" w:eastAsia="Times New Roman" w:hAnsi="Calibri" w:cs="Arial"/>
          <w:sz w:val="24"/>
          <w:szCs w:val="24"/>
          <w:lang w:eastAsia="fr-FR"/>
        </w:rPr>
      </w:pPr>
    </w:p>
    <w:p w:rsidR="00B02643" w:rsidRPr="00343AF3" w:rsidRDefault="00B02643" w:rsidP="001A0C05">
      <w:pPr>
        <w:spacing w:before="100" w:beforeAutospacing="1" w:after="100" w:afterAutospacing="1" w:line="240" w:lineRule="auto"/>
        <w:rPr>
          <w:rFonts w:ascii="Calibri" w:eastAsia="Times New Roman" w:hAnsi="Calibri" w:cs="Arial"/>
          <w:sz w:val="24"/>
          <w:szCs w:val="24"/>
          <w:lang w:eastAsia="fr-FR"/>
        </w:rPr>
      </w:pPr>
    </w:p>
    <w:p w:rsidR="00B02643" w:rsidRPr="00343AF3" w:rsidRDefault="00B02643" w:rsidP="001A0C05">
      <w:pPr>
        <w:spacing w:before="100" w:beforeAutospacing="1" w:after="100" w:afterAutospacing="1" w:line="240" w:lineRule="auto"/>
        <w:rPr>
          <w:rFonts w:ascii="Calibri" w:eastAsia="Times New Roman" w:hAnsi="Calibri" w:cs="Arial"/>
          <w:sz w:val="24"/>
          <w:szCs w:val="24"/>
          <w:lang w:eastAsia="fr-FR"/>
        </w:rPr>
      </w:pPr>
    </w:p>
    <w:p w:rsidR="00B02643" w:rsidRPr="00343AF3" w:rsidRDefault="00B02643" w:rsidP="001A0C05">
      <w:pPr>
        <w:spacing w:before="100" w:beforeAutospacing="1" w:after="100" w:afterAutospacing="1" w:line="240" w:lineRule="auto"/>
        <w:rPr>
          <w:rFonts w:ascii="Calibri" w:eastAsia="Times New Roman" w:hAnsi="Calibri" w:cs="Arial"/>
          <w:sz w:val="24"/>
          <w:szCs w:val="24"/>
          <w:lang w:eastAsia="fr-FR"/>
        </w:rPr>
      </w:pPr>
    </w:p>
    <w:p w:rsidR="00791A8B" w:rsidRDefault="00791A8B" w:rsidP="00E32815">
      <w:pPr>
        <w:spacing w:before="100" w:beforeAutospacing="1" w:after="100" w:afterAutospacing="1" w:line="240" w:lineRule="auto"/>
        <w:rPr>
          <w:rFonts w:ascii="Calibri" w:eastAsia="Times New Roman" w:hAnsi="Calibri" w:cs="Arial"/>
          <w:sz w:val="24"/>
          <w:szCs w:val="24"/>
          <w:lang w:eastAsia="fr-FR"/>
        </w:rPr>
      </w:pPr>
    </w:p>
    <w:p w:rsidR="00791A8B" w:rsidRDefault="00791A8B" w:rsidP="00E32815">
      <w:pPr>
        <w:spacing w:before="100" w:beforeAutospacing="1" w:after="100" w:afterAutospacing="1" w:line="240" w:lineRule="auto"/>
        <w:rPr>
          <w:rFonts w:ascii="Calibri" w:eastAsia="Times New Roman" w:hAnsi="Calibri" w:cs="Arial"/>
          <w:sz w:val="24"/>
          <w:szCs w:val="24"/>
          <w:lang w:eastAsia="fr-FR"/>
        </w:rPr>
      </w:pPr>
    </w:p>
    <w:p w:rsidR="00791A8B" w:rsidRDefault="00791A8B" w:rsidP="00E32815">
      <w:pPr>
        <w:spacing w:before="100" w:beforeAutospacing="1" w:after="100" w:afterAutospacing="1" w:line="240" w:lineRule="auto"/>
        <w:rPr>
          <w:rFonts w:ascii="Calibri" w:eastAsia="Times New Roman" w:hAnsi="Calibri" w:cs="Arial"/>
          <w:sz w:val="24"/>
          <w:szCs w:val="24"/>
          <w:lang w:eastAsia="fr-FR"/>
        </w:rPr>
      </w:pPr>
    </w:p>
    <w:p w:rsidR="00791A8B" w:rsidRDefault="00791A8B" w:rsidP="00E32815">
      <w:pPr>
        <w:spacing w:before="100" w:beforeAutospacing="1" w:after="100" w:afterAutospacing="1" w:line="240" w:lineRule="auto"/>
        <w:rPr>
          <w:rFonts w:ascii="Calibri" w:eastAsia="Times New Roman" w:hAnsi="Calibri" w:cs="Arial"/>
          <w:sz w:val="24"/>
          <w:szCs w:val="24"/>
          <w:lang w:eastAsia="fr-FR"/>
        </w:rPr>
      </w:pPr>
    </w:p>
    <w:p w:rsidR="00E32815" w:rsidRPr="00343AF3" w:rsidRDefault="001A0C05" w:rsidP="00E32815">
      <w:pPr>
        <w:spacing w:before="100" w:beforeAutospacing="1" w:after="100" w:afterAutospacing="1" w:line="240" w:lineRule="auto"/>
        <w:rPr>
          <w:rFonts w:ascii="Calibri" w:eastAsia="Times New Roman" w:hAnsi="Calibri" w:cs="Arial"/>
          <w:sz w:val="24"/>
          <w:szCs w:val="24"/>
          <w:lang w:eastAsia="fr-FR"/>
        </w:rPr>
      </w:pPr>
      <w:r w:rsidRPr="00343AF3">
        <w:rPr>
          <w:rFonts w:ascii="Calibri" w:eastAsia="Times New Roman" w:hAnsi="Calibri" w:cs="Arial"/>
          <w:sz w:val="24"/>
          <w:szCs w:val="24"/>
          <w:lang w:eastAsia="fr-FR"/>
        </w:rPr>
        <w:t xml:space="preserve">Le pouvoir d'achat réel des ménages est lié à l'évolution des revenus d'activité, des revenus du patrimoine, des transferts sociaux et à l'évolution des </w:t>
      </w:r>
      <w:r w:rsidR="00B02643" w:rsidRPr="00343AF3">
        <w:rPr>
          <w:rFonts w:ascii="Calibri" w:eastAsia="Times New Roman" w:hAnsi="Calibri" w:cs="Arial"/>
          <w:sz w:val="24"/>
          <w:szCs w:val="24"/>
          <w:lang w:eastAsia="fr-FR"/>
        </w:rPr>
        <w:t xml:space="preserve">prélèvements fiscaux et sociaux. </w:t>
      </w:r>
      <w:r w:rsidR="004D0E9A" w:rsidRPr="00343AF3">
        <w:rPr>
          <w:rFonts w:ascii="Calibri" w:eastAsia="Times New Roman" w:hAnsi="Calibri" w:cs="Arial"/>
          <w:sz w:val="24"/>
          <w:szCs w:val="24"/>
          <w:lang w:eastAsia="fr-FR"/>
        </w:rPr>
        <w:t>(</w:t>
      </w:r>
      <w:proofErr w:type="gramStart"/>
      <w:r w:rsidR="004D0E9A" w:rsidRPr="00343AF3">
        <w:rPr>
          <w:rFonts w:ascii="Calibri" w:eastAsia="Times New Roman" w:hAnsi="Calibri" w:cs="Arial"/>
          <w:sz w:val="24"/>
          <w:szCs w:val="24"/>
          <w:lang w:eastAsia="fr-FR"/>
        </w:rPr>
        <w:t>figure</w:t>
      </w:r>
      <w:proofErr w:type="gramEnd"/>
      <w:r w:rsidR="004D0E9A" w:rsidRPr="00343AF3">
        <w:rPr>
          <w:rFonts w:ascii="Calibri" w:eastAsia="Times New Roman" w:hAnsi="Calibri" w:cs="Arial"/>
          <w:sz w:val="24"/>
          <w:szCs w:val="24"/>
          <w:lang w:eastAsia="fr-FR"/>
        </w:rPr>
        <w:t xml:space="preserve"> 2 ci-dessous)</w:t>
      </w:r>
      <w:r w:rsidR="00791A8B">
        <w:rPr>
          <w:rFonts w:ascii="Calibri" w:eastAsia="Times New Roman" w:hAnsi="Calibri" w:cs="Arial"/>
          <w:sz w:val="24"/>
          <w:szCs w:val="24"/>
          <w:lang w:eastAsia="fr-FR"/>
        </w:rPr>
        <w:t>.</w:t>
      </w:r>
    </w:p>
    <w:p w:rsidR="00E32815" w:rsidRPr="00343AF3" w:rsidRDefault="00B678F7" w:rsidP="00E32815">
      <w:pPr>
        <w:spacing w:before="100" w:beforeAutospacing="1" w:after="100" w:afterAutospacing="1" w:line="240" w:lineRule="auto"/>
        <w:jc w:val="both"/>
        <w:rPr>
          <w:rFonts w:ascii="Calibri" w:eastAsia="Times New Roman" w:hAnsi="Calibri" w:cs="Arial"/>
          <w:sz w:val="24"/>
          <w:szCs w:val="24"/>
          <w:lang w:eastAsia="fr-FR"/>
        </w:rPr>
      </w:pPr>
      <w:r w:rsidRPr="00343AF3">
        <w:rPr>
          <w:rFonts w:ascii="Calibri" w:eastAsia="Times New Roman" w:hAnsi="Calibri" w:cs="Arial"/>
          <w:noProof/>
          <w:sz w:val="24"/>
          <w:szCs w:val="24"/>
          <w:lang w:eastAsia="fr-FR"/>
        </w:rPr>
        <w:drawing>
          <wp:anchor distT="0" distB="0" distL="114300" distR="114300" simplePos="0" relativeHeight="251660288" behindDoc="1" locked="0" layoutInCell="1" allowOverlap="1" wp14:anchorId="39795E4C" wp14:editId="002352AB">
            <wp:simplePos x="0" y="0"/>
            <wp:positionH relativeFrom="column">
              <wp:posOffset>-133350</wp:posOffset>
            </wp:positionH>
            <wp:positionV relativeFrom="paragraph">
              <wp:posOffset>142240</wp:posOffset>
            </wp:positionV>
            <wp:extent cx="3419475" cy="2940685"/>
            <wp:effectExtent l="0" t="0" r="9525" b="0"/>
            <wp:wrapTight wrapText="bothSides">
              <wp:wrapPolygon edited="0">
                <wp:start x="0" y="0"/>
                <wp:lineTo x="0" y="21409"/>
                <wp:lineTo x="21540" y="21409"/>
                <wp:lineTo x="21540" y="0"/>
                <wp:lineTo x="0" y="0"/>
              </wp:wrapPolygon>
            </wp:wrapTight>
            <wp:docPr id="15" name="Image 15" descr="C:\Users\mberrah\Desktop\Cerpeg\contribu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berrah\Desktop\Cerpeg\contribution.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19475" cy="2940685"/>
                    </a:xfrm>
                    <a:prstGeom prst="rect">
                      <a:avLst/>
                    </a:prstGeom>
                    <a:noFill/>
                    <a:ln>
                      <a:noFill/>
                    </a:ln>
                  </pic:spPr>
                </pic:pic>
              </a:graphicData>
            </a:graphic>
          </wp:anchor>
        </w:drawing>
      </w:r>
      <w:r w:rsidR="00B02643" w:rsidRPr="00343AF3">
        <w:rPr>
          <w:rFonts w:ascii="Calibri" w:eastAsia="Times New Roman" w:hAnsi="Calibri" w:cs="Arial"/>
          <w:sz w:val="24"/>
          <w:szCs w:val="24"/>
          <w:lang w:eastAsia="fr-FR"/>
        </w:rPr>
        <w:t xml:space="preserve">En 2011, le revenu disponible brut des ménages accélère </w:t>
      </w:r>
      <w:proofErr w:type="gramStart"/>
      <w:r w:rsidR="00B02643" w:rsidRPr="00343AF3">
        <w:rPr>
          <w:rFonts w:ascii="Calibri" w:eastAsia="Times New Roman" w:hAnsi="Calibri" w:cs="Arial"/>
          <w:sz w:val="24"/>
          <w:szCs w:val="24"/>
          <w:lang w:eastAsia="fr-FR"/>
        </w:rPr>
        <w:t>à</w:t>
      </w:r>
      <w:proofErr w:type="gramEnd"/>
      <w:r w:rsidR="00B02643" w:rsidRPr="00343AF3">
        <w:rPr>
          <w:rFonts w:ascii="Calibri" w:eastAsia="Times New Roman" w:hAnsi="Calibri" w:cs="Arial"/>
          <w:sz w:val="24"/>
          <w:szCs w:val="24"/>
          <w:lang w:eastAsia="fr-FR"/>
        </w:rPr>
        <w:t xml:space="preserve"> + 2,6 % en valeur (après + 2,0 % l’année précédente). </w:t>
      </w:r>
    </w:p>
    <w:p w:rsidR="00B678F7" w:rsidRPr="00343AF3" w:rsidRDefault="00B678F7" w:rsidP="00B678F7">
      <w:pPr>
        <w:spacing w:before="100" w:beforeAutospacing="1" w:after="100" w:afterAutospacing="1" w:line="240" w:lineRule="auto"/>
        <w:jc w:val="both"/>
        <w:rPr>
          <w:rFonts w:ascii="Calibri" w:eastAsia="Times New Roman" w:hAnsi="Calibri" w:cs="Arial"/>
          <w:sz w:val="24"/>
          <w:szCs w:val="24"/>
          <w:lang w:eastAsia="fr-FR"/>
        </w:rPr>
      </w:pPr>
      <w:r w:rsidRPr="00343AF3">
        <w:rPr>
          <w:rFonts w:ascii="Calibri" w:eastAsia="Times New Roman" w:hAnsi="Calibri" w:cs="Arial"/>
          <w:sz w:val="24"/>
          <w:szCs w:val="24"/>
          <w:lang w:eastAsia="fr-FR"/>
        </w:rPr>
        <w:t xml:space="preserve">En 2011, le revenu disponible brut des ménages accélère en valeur : + 2,6 % en 2011, après + 2,0 % en 2010. Mais son pouvoir d’achat ralentit </w:t>
      </w:r>
      <w:proofErr w:type="gramStart"/>
      <w:r w:rsidRPr="00343AF3">
        <w:rPr>
          <w:rFonts w:ascii="Calibri" w:eastAsia="Times New Roman" w:hAnsi="Calibri" w:cs="Arial"/>
          <w:sz w:val="24"/>
          <w:szCs w:val="24"/>
          <w:lang w:eastAsia="fr-FR"/>
        </w:rPr>
        <w:t>à</w:t>
      </w:r>
      <w:proofErr w:type="gramEnd"/>
      <w:r w:rsidRPr="00343AF3">
        <w:rPr>
          <w:rFonts w:ascii="Calibri" w:eastAsia="Times New Roman" w:hAnsi="Calibri" w:cs="Arial"/>
          <w:sz w:val="24"/>
          <w:szCs w:val="24"/>
          <w:lang w:eastAsia="fr-FR"/>
        </w:rPr>
        <w:t xml:space="preserve"> + 0,5 % après + 0,9 %. En effet, dans le même temps, la hausse du prix de la dépense de consommation finale atteint + 2,1 % (contre + 1,1 % en 2010), en raison notamment de la hausse des prix de l’énergie. </w:t>
      </w:r>
    </w:p>
    <w:p w:rsidR="00B678F7" w:rsidRPr="00343AF3" w:rsidRDefault="00B678F7" w:rsidP="00B678F7">
      <w:pPr>
        <w:spacing w:line="240" w:lineRule="auto"/>
        <w:jc w:val="both"/>
        <w:rPr>
          <w:rFonts w:ascii="Calibri" w:eastAsia="Times New Roman" w:hAnsi="Calibri" w:cs="Arial"/>
          <w:sz w:val="24"/>
          <w:szCs w:val="24"/>
          <w:lang w:eastAsia="fr-FR"/>
        </w:rPr>
      </w:pPr>
      <w:r w:rsidRPr="00343AF3">
        <w:rPr>
          <w:rFonts w:ascii="Calibri" w:eastAsia="Times New Roman" w:hAnsi="Calibri" w:cs="Arial"/>
          <w:sz w:val="24"/>
          <w:szCs w:val="24"/>
          <w:lang w:eastAsia="fr-FR"/>
        </w:rPr>
        <w:t xml:space="preserve">Ce ralentissement du pouvoir d’achat est mesuré à partir de l’ensemble des revenus perçus par les ménages. Mesuré au niveau individuel, c’est-à-dire </w:t>
      </w:r>
      <w:r w:rsidRPr="00343AF3">
        <w:rPr>
          <w:rFonts w:ascii="Calibri" w:eastAsia="Times New Roman" w:hAnsi="Calibri" w:cs="Arial"/>
          <w:sz w:val="24"/>
          <w:szCs w:val="24"/>
          <w:lang w:eastAsia="fr-FR"/>
        </w:rPr>
        <w:lastRenderedPageBreak/>
        <w:t xml:space="preserve">rapporté au nombre d’unités de consommation, le pouvoir d’achat est même en léger repli : - 0,1 % en moyenne en 2011, après + 0,3 % en 2010. </w:t>
      </w:r>
    </w:p>
    <w:p w:rsidR="00B678F7" w:rsidRPr="00343AF3" w:rsidRDefault="00B678F7" w:rsidP="00B678F7">
      <w:pPr>
        <w:spacing w:line="240" w:lineRule="auto"/>
        <w:jc w:val="both"/>
        <w:rPr>
          <w:rFonts w:ascii="Calibri" w:eastAsia="Times New Roman" w:hAnsi="Calibri" w:cs="Arial"/>
          <w:sz w:val="24"/>
          <w:szCs w:val="24"/>
          <w:lang w:eastAsia="fr-FR"/>
        </w:rPr>
      </w:pPr>
      <w:r w:rsidRPr="00343AF3">
        <w:rPr>
          <w:rFonts w:ascii="Calibri" w:eastAsia="Times New Roman" w:hAnsi="Calibri" w:cs="Arial"/>
          <w:sz w:val="24"/>
          <w:szCs w:val="24"/>
          <w:lang w:eastAsia="fr-FR"/>
        </w:rPr>
        <w:t xml:space="preserve">Si l’on déduit les </w:t>
      </w:r>
      <w:hyperlink r:id="rId14" w:anchor="def4" w:tooltip="Voir la définition" w:history="1">
        <w:r w:rsidRPr="00343AF3">
          <w:rPr>
            <w:rFonts w:ascii="Calibri" w:eastAsia="Times New Roman" w:hAnsi="Calibri" w:cs="Arial"/>
            <w:sz w:val="24"/>
            <w:szCs w:val="24"/>
            <w:lang w:eastAsia="fr-FR"/>
          </w:rPr>
          <w:t>dépenses « pré-engagées</w:t>
        </w:r>
      </w:hyperlink>
      <w:r w:rsidRPr="00343AF3">
        <w:rPr>
          <w:rFonts w:ascii="Calibri" w:eastAsia="Times New Roman" w:hAnsi="Calibri" w:cs="Arial"/>
          <w:sz w:val="24"/>
          <w:szCs w:val="24"/>
          <w:lang w:eastAsia="fr-FR"/>
        </w:rPr>
        <w:t xml:space="preserve"> », le pouvoir d’achat du </w:t>
      </w:r>
      <w:hyperlink r:id="rId15" w:anchor="def5" w:tooltip="Voir la définition" w:history="1">
        <w:r w:rsidRPr="00343AF3">
          <w:rPr>
            <w:rFonts w:ascii="Calibri" w:eastAsia="Times New Roman" w:hAnsi="Calibri" w:cs="Arial"/>
            <w:sz w:val="24"/>
            <w:szCs w:val="24"/>
            <w:lang w:eastAsia="fr-FR"/>
          </w:rPr>
          <w:t>revenu arbitrable</w:t>
        </w:r>
      </w:hyperlink>
      <w:r w:rsidRPr="00343AF3">
        <w:rPr>
          <w:rFonts w:ascii="Calibri" w:eastAsia="Times New Roman" w:hAnsi="Calibri" w:cs="Arial"/>
          <w:sz w:val="24"/>
          <w:szCs w:val="24"/>
          <w:lang w:eastAsia="fr-FR"/>
        </w:rPr>
        <w:t xml:space="preserve"> par unité de consommation est en revanche en hausse de 0,3 %. En effet, ces dépenses contraintes augmentent moins que les autres dépenses en 2011 (+ 1,6 % en valeur contre + 2,7 %), du fait de la diminution des dépenses de chauffage et d’une moindre hausse des loyers.</w:t>
      </w:r>
    </w:p>
    <w:p w:rsidR="001A0C05" w:rsidRPr="00343AF3" w:rsidRDefault="004D0E9A" w:rsidP="001A0C05">
      <w:pPr>
        <w:spacing w:before="100" w:beforeAutospacing="1" w:after="100" w:afterAutospacing="1" w:line="240" w:lineRule="auto"/>
        <w:rPr>
          <w:rFonts w:ascii="Calibri" w:eastAsia="Times New Roman" w:hAnsi="Calibri" w:cs="Arial"/>
          <w:sz w:val="24"/>
          <w:szCs w:val="24"/>
          <w:lang w:eastAsia="fr-FR"/>
        </w:rPr>
      </w:pPr>
      <w:r w:rsidRPr="00343AF3">
        <w:rPr>
          <w:rFonts w:ascii="Calibri" w:eastAsia="Times New Roman" w:hAnsi="Calibri" w:cs="Arial"/>
          <w:sz w:val="24"/>
          <w:szCs w:val="24"/>
          <w:lang w:eastAsia="fr-FR"/>
        </w:rPr>
        <w:t>C</w:t>
      </w:r>
      <w:r w:rsidR="00E32815" w:rsidRPr="00343AF3">
        <w:rPr>
          <w:rFonts w:ascii="Calibri" w:eastAsia="Times New Roman" w:hAnsi="Calibri" w:cs="Arial"/>
          <w:sz w:val="24"/>
          <w:szCs w:val="24"/>
          <w:lang w:eastAsia="fr-FR"/>
        </w:rPr>
        <w:t>e ralentissement du pouvoir d’achat se transforme en ralentissement de la dépense en faveur de l’épargne</w:t>
      </w:r>
      <w:r w:rsidRPr="00343AF3">
        <w:rPr>
          <w:rFonts w:ascii="Calibri" w:eastAsia="Times New Roman" w:hAnsi="Calibri" w:cs="Arial"/>
          <w:sz w:val="24"/>
          <w:szCs w:val="24"/>
          <w:lang w:eastAsia="fr-FR"/>
        </w:rPr>
        <w:t xml:space="preserve"> (figure 3 ci-dessous)</w:t>
      </w:r>
      <w:r w:rsidR="00E32815" w:rsidRPr="00343AF3">
        <w:rPr>
          <w:rFonts w:ascii="Calibri" w:eastAsia="Times New Roman" w:hAnsi="Calibri" w:cs="Arial"/>
          <w:sz w:val="24"/>
          <w:szCs w:val="24"/>
          <w:lang w:eastAsia="fr-FR"/>
        </w:rPr>
        <w:t>.</w:t>
      </w:r>
    </w:p>
    <w:p w:rsidR="004D0E9A" w:rsidRPr="00343AF3" w:rsidRDefault="004D0E9A" w:rsidP="00E32815">
      <w:pPr>
        <w:spacing w:line="240" w:lineRule="auto"/>
        <w:jc w:val="both"/>
        <w:rPr>
          <w:rFonts w:ascii="Calibri" w:eastAsia="Times New Roman" w:hAnsi="Calibri" w:cs="Arial"/>
          <w:sz w:val="24"/>
          <w:szCs w:val="24"/>
          <w:lang w:eastAsia="fr-FR"/>
        </w:rPr>
      </w:pPr>
      <w:bookmarkStart w:id="10" w:name="T2"/>
      <w:bookmarkEnd w:id="10"/>
      <w:r w:rsidRPr="00343AF3">
        <w:rPr>
          <w:rFonts w:ascii="Calibri" w:eastAsia="Times New Roman" w:hAnsi="Calibri" w:cs="Arial"/>
          <w:noProof/>
          <w:sz w:val="24"/>
          <w:szCs w:val="24"/>
          <w:lang w:eastAsia="fr-FR"/>
        </w:rPr>
        <w:drawing>
          <wp:inline distT="0" distB="0" distL="0" distR="0" wp14:anchorId="01339BD3" wp14:editId="33ED8E79">
            <wp:extent cx="6645910" cy="2269104"/>
            <wp:effectExtent l="0" t="0" r="2540" b="0"/>
            <wp:docPr id="19" name="Image 19" descr="C:\Users\mberrah\Desktop\Cerpeg\graphiqu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berrah\Desktop\Cerpeg\graphique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45910" cy="2269104"/>
                    </a:xfrm>
                    <a:prstGeom prst="rect">
                      <a:avLst/>
                    </a:prstGeom>
                    <a:noFill/>
                    <a:ln>
                      <a:noFill/>
                    </a:ln>
                  </pic:spPr>
                </pic:pic>
              </a:graphicData>
            </a:graphic>
          </wp:inline>
        </w:drawing>
      </w:r>
    </w:p>
    <w:p w:rsidR="004D0E9A" w:rsidRPr="00343AF3" w:rsidRDefault="004D0E9A" w:rsidP="00E32815">
      <w:pPr>
        <w:spacing w:line="240" w:lineRule="auto"/>
        <w:jc w:val="both"/>
        <w:rPr>
          <w:rFonts w:ascii="Calibri" w:eastAsia="Times New Roman" w:hAnsi="Calibri" w:cs="Arial"/>
          <w:sz w:val="24"/>
          <w:szCs w:val="24"/>
          <w:lang w:eastAsia="fr-FR"/>
        </w:rPr>
      </w:pPr>
    </w:p>
    <w:p w:rsidR="00B678F7" w:rsidRPr="00343AF3" w:rsidRDefault="004D0E9A" w:rsidP="00B678F7">
      <w:pPr>
        <w:spacing w:before="100" w:beforeAutospacing="1" w:after="100" w:afterAutospacing="1" w:line="240" w:lineRule="auto"/>
        <w:jc w:val="both"/>
        <w:rPr>
          <w:rFonts w:ascii="Calibri" w:eastAsia="Times New Roman" w:hAnsi="Calibri" w:cs="Arial"/>
          <w:sz w:val="24"/>
          <w:szCs w:val="24"/>
          <w:lang w:eastAsia="fr-FR"/>
        </w:rPr>
      </w:pPr>
      <w:r w:rsidRPr="00343AF3">
        <w:rPr>
          <w:rFonts w:ascii="Calibri" w:eastAsia="Times New Roman" w:hAnsi="Calibri" w:cs="Arial"/>
          <w:sz w:val="24"/>
          <w:szCs w:val="24"/>
          <w:lang w:eastAsia="fr-FR"/>
        </w:rPr>
        <w:t xml:space="preserve">En 2011, la dépense de consommation des ménages ralentit, avec une croissance de + 0,3 % en </w:t>
      </w:r>
      <w:hyperlink r:id="rId17" w:anchor="def1" w:tooltip="Voir la définition" w:history="1">
        <w:r w:rsidRPr="00343AF3">
          <w:rPr>
            <w:rFonts w:ascii="Calibri" w:eastAsia="Times New Roman" w:hAnsi="Calibri" w:cs="Arial"/>
            <w:sz w:val="24"/>
            <w:szCs w:val="24"/>
            <w:lang w:eastAsia="fr-FR"/>
          </w:rPr>
          <w:t>volume</w:t>
        </w:r>
      </w:hyperlink>
      <w:r w:rsidRPr="00343AF3">
        <w:rPr>
          <w:rFonts w:ascii="Calibri" w:eastAsia="Times New Roman" w:hAnsi="Calibri" w:cs="Arial"/>
          <w:sz w:val="24"/>
          <w:szCs w:val="24"/>
          <w:lang w:eastAsia="fr-FR"/>
        </w:rPr>
        <w:t xml:space="preserve"> après + 1,4 % en 2010. </w:t>
      </w:r>
    </w:p>
    <w:p w:rsidR="004D0E9A" w:rsidRPr="00343AF3" w:rsidRDefault="004D0E9A" w:rsidP="00B678F7">
      <w:pPr>
        <w:spacing w:before="100" w:beforeAutospacing="1" w:after="100" w:afterAutospacing="1" w:line="240" w:lineRule="auto"/>
        <w:jc w:val="both"/>
        <w:rPr>
          <w:rFonts w:ascii="Calibri" w:eastAsia="Times New Roman" w:hAnsi="Calibri" w:cs="Arial"/>
          <w:sz w:val="24"/>
          <w:szCs w:val="24"/>
          <w:lang w:eastAsia="fr-FR"/>
        </w:rPr>
      </w:pPr>
      <w:r w:rsidRPr="00343AF3">
        <w:rPr>
          <w:rFonts w:ascii="Calibri" w:eastAsia="Times New Roman" w:hAnsi="Calibri" w:cs="Arial"/>
          <w:sz w:val="24"/>
          <w:szCs w:val="24"/>
          <w:lang w:eastAsia="fr-FR"/>
        </w:rPr>
        <w:t xml:space="preserve">La </w:t>
      </w:r>
      <w:hyperlink r:id="rId18" w:anchor="def2" w:tooltip="Voir la définition" w:history="1">
        <w:r w:rsidRPr="00343AF3">
          <w:rPr>
            <w:rFonts w:ascii="Calibri" w:eastAsia="Times New Roman" w:hAnsi="Calibri" w:cs="Arial"/>
            <w:sz w:val="24"/>
            <w:szCs w:val="24"/>
            <w:lang w:eastAsia="fr-FR"/>
          </w:rPr>
          <w:t>consommation effective des ménages</w:t>
        </w:r>
      </w:hyperlink>
      <w:r w:rsidRPr="00343AF3">
        <w:rPr>
          <w:rFonts w:ascii="Calibri" w:eastAsia="Times New Roman" w:hAnsi="Calibri" w:cs="Arial"/>
          <w:sz w:val="24"/>
          <w:szCs w:val="24"/>
          <w:lang w:eastAsia="fr-FR"/>
        </w:rPr>
        <w:t>, qui inclut les dépenses directement financées par la collectivité, est un peu moins freinée : + 0,6 % après + 1,5 %. Elle est soutenue par la dépense de consommation individualisable des administrations publiques, qui progresse de 1,5 %, et par celle des institutions sans but lucratif au service des ménages (ISBLSM), en hausse de 1,9 %. Ainsi, la consommation effective des ménages contribue pour 0,4 point à la croissance du produit intérieur brut (+ 1,7 %), mais leur dépense de consommation n’y contribue que pour 0,1 point.</w:t>
      </w:r>
    </w:p>
    <w:p w:rsidR="00B678F7" w:rsidRPr="00343AF3" w:rsidRDefault="00B678F7" w:rsidP="00B678F7">
      <w:pPr>
        <w:spacing w:line="240" w:lineRule="auto"/>
        <w:jc w:val="both"/>
        <w:rPr>
          <w:rFonts w:ascii="Calibri" w:eastAsia="Times New Roman" w:hAnsi="Calibri" w:cs="Arial"/>
          <w:sz w:val="24"/>
          <w:szCs w:val="24"/>
          <w:lang w:eastAsia="fr-FR"/>
        </w:rPr>
      </w:pPr>
      <w:r w:rsidRPr="00343AF3">
        <w:rPr>
          <w:rFonts w:ascii="Calibri" w:eastAsia="Times New Roman" w:hAnsi="Calibri" w:cs="Arial"/>
          <w:sz w:val="24"/>
          <w:szCs w:val="24"/>
          <w:lang w:eastAsia="fr-FR"/>
        </w:rPr>
        <w:t>Ce ralentissement de la consommation se fait en faveur de l’épargne.</w:t>
      </w:r>
    </w:p>
    <w:p w:rsidR="004D0E9A" w:rsidRPr="00343AF3" w:rsidRDefault="004D0E9A" w:rsidP="00B678F7">
      <w:pPr>
        <w:spacing w:before="100" w:beforeAutospacing="1" w:after="100" w:afterAutospacing="1" w:line="240" w:lineRule="auto"/>
        <w:jc w:val="both"/>
        <w:rPr>
          <w:rFonts w:ascii="Calibri" w:eastAsia="Times New Roman" w:hAnsi="Calibri" w:cs="Arial"/>
          <w:sz w:val="24"/>
          <w:szCs w:val="24"/>
          <w:lang w:eastAsia="fr-FR"/>
        </w:rPr>
      </w:pPr>
      <w:r w:rsidRPr="00343AF3">
        <w:rPr>
          <w:rFonts w:ascii="Calibri" w:eastAsia="Times New Roman" w:hAnsi="Calibri" w:cs="Arial"/>
          <w:sz w:val="24"/>
          <w:szCs w:val="24"/>
          <w:lang w:eastAsia="fr-FR"/>
        </w:rPr>
        <w:t>Le taux d’épargne des ménages augmente légèrement : il est de 16,1 % en 2011, après 15,9 % en 2010</w:t>
      </w:r>
      <w:r w:rsidR="000C67EE">
        <w:rPr>
          <w:rFonts w:ascii="Calibri" w:eastAsia="Times New Roman" w:hAnsi="Calibri" w:cs="Arial"/>
          <w:sz w:val="24"/>
          <w:szCs w:val="24"/>
          <w:lang w:eastAsia="fr-FR"/>
        </w:rPr>
        <w:t>.</w:t>
      </w:r>
    </w:p>
    <w:p w:rsidR="00E57833" w:rsidRDefault="00E57833">
      <w:pPr>
        <w:rPr>
          <w:rFonts w:ascii="Calibri" w:eastAsia="Times New Roman" w:hAnsi="Calibri" w:cs="Arial"/>
          <w:sz w:val="24"/>
          <w:szCs w:val="24"/>
          <w:lang w:eastAsia="fr-FR"/>
        </w:rPr>
      </w:pPr>
      <w:r>
        <w:rPr>
          <w:rFonts w:ascii="Calibri" w:eastAsia="Times New Roman" w:hAnsi="Calibri" w:cs="Arial"/>
          <w:sz w:val="24"/>
          <w:szCs w:val="24"/>
          <w:lang w:eastAsia="fr-FR"/>
        </w:rPr>
        <w:br w:type="page"/>
      </w:r>
    </w:p>
    <w:p w:rsidR="001A0C05" w:rsidRPr="00343AF3" w:rsidRDefault="001B1D41" w:rsidP="00343AF3">
      <w:pPr>
        <w:spacing w:line="240" w:lineRule="auto"/>
        <w:jc w:val="both"/>
        <w:rPr>
          <w:rFonts w:ascii="Arial" w:eastAsia="Times New Roman" w:hAnsi="Arial" w:cs="Times New Roman"/>
          <w:b/>
          <w:color w:val="CC0000"/>
          <w:sz w:val="30"/>
          <w:szCs w:val="24"/>
          <w:lang w:eastAsia="fr-FR"/>
        </w:rPr>
      </w:pPr>
      <w:r>
        <w:rPr>
          <w:rFonts w:ascii="Arial" w:eastAsia="Times New Roman" w:hAnsi="Arial" w:cs="Times New Roman"/>
          <w:b/>
          <w:color w:val="CC0000"/>
          <w:sz w:val="30"/>
          <w:szCs w:val="24"/>
          <w:lang w:eastAsia="fr-FR"/>
        </w:rPr>
        <w:lastRenderedPageBreak/>
        <w:t xml:space="preserve">2. </w:t>
      </w:r>
      <w:r w:rsidR="001A0C05" w:rsidRPr="00343AF3">
        <w:rPr>
          <w:rFonts w:ascii="Arial" w:eastAsia="Times New Roman" w:hAnsi="Arial" w:cs="Times New Roman"/>
          <w:b/>
          <w:color w:val="CC0000"/>
          <w:sz w:val="30"/>
          <w:szCs w:val="24"/>
          <w:lang w:eastAsia="fr-FR"/>
        </w:rPr>
        <w:t xml:space="preserve">L'utilisation du revenu des ménages : consommation et épargne </w:t>
      </w:r>
    </w:p>
    <w:p w:rsidR="001A0C05" w:rsidRPr="00E05AAE" w:rsidRDefault="001B1D41" w:rsidP="001A0C05">
      <w:pPr>
        <w:spacing w:before="100" w:beforeAutospacing="1" w:after="100" w:afterAutospacing="1" w:line="240" w:lineRule="auto"/>
        <w:rPr>
          <w:rFonts w:ascii="Arial" w:eastAsia="Times New Roman" w:hAnsi="Arial" w:cs="Times New Roman"/>
          <w:b/>
          <w:color w:val="CC0000"/>
          <w:sz w:val="26"/>
          <w:szCs w:val="24"/>
          <w:lang w:eastAsia="fr-FR"/>
        </w:rPr>
      </w:pPr>
      <w:r w:rsidRPr="00E05AAE">
        <w:rPr>
          <w:rFonts w:ascii="Arial" w:eastAsia="Times New Roman" w:hAnsi="Arial" w:cs="Times New Roman"/>
          <w:b/>
          <w:color w:val="CC0000"/>
          <w:sz w:val="26"/>
          <w:szCs w:val="24"/>
          <w:lang w:eastAsia="fr-FR"/>
        </w:rPr>
        <w:t xml:space="preserve">I - </w:t>
      </w:r>
      <w:r w:rsidR="001A0C05" w:rsidRPr="00E05AAE">
        <w:rPr>
          <w:rFonts w:ascii="Arial" w:eastAsia="Times New Roman" w:hAnsi="Arial" w:cs="Times New Roman"/>
          <w:b/>
          <w:color w:val="CC0000"/>
          <w:sz w:val="26"/>
          <w:szCs w:val="24"/>
          <w:lang w:eastAsia="fr-FR"/>
        </w:rPr>
        <w:t xml:space="preserve">La consommation </w:t>
      </w:r>
    </w:p>
    <w:p w:rsidR="001A0C05" w:rsidRPr="00343AF3" w:rsidRDefault="001A0C05" w:rsidP="002E0F4E">
      <w:pPr>
        <w:spacing w:before="100" w:beforeAutospacing="1" w:after="100" w:afterAutospacing="1" w:line="240" w:lineRule="auto"/>
        <w:jc w:val="both"/>
        <w:rPr>
          <w:rFonts w:ascii="Calibri" w:eastAsia="Times New Roman" w:hAnsi="Calibri" w:cs="Arial"/>
          <w:sz w:val="24"/>
          <w:szCs w:val="24"/>
          <w:lang w:eastAsia="fr-FR"/>
        </w:rPr>
      </w:pPr>
      <w:r w:rsidRPr="00343AF3">
        <w:rPr>
          <w:rFonts w:ascii="Calibri" w:eastAsia="Times New Roman" w:hAnsi="Calibri" w:cs="Arial"/>
          <w:sz w:val="24"/>
          <w:szCs w:val="24"/>
          <w:lang w:eastAsia="fr-FR"/>
        </w:rPr>
        <w:t xml:space="preserve">La consommation est l'opération qui détruit de la valeur, par l'utilisation d'un bien ou service, afin de satisfaire un besoin. Cette fonction économique est l'un des moteurs de la croissance, par la demande qu'elle exerce auprès des entreprises (source de création d'activités et d'emploi). </w:t>
      </w:r>
    </w:p>
    <w:p w:rsidR="001A0C05" w:rsidRPr="00343AF3" w:rsidRDefault="001A0C05" w:rsidP="002E0F4E">
      <w:pPr>
        <w:spacing w:before="100" w:beforeAutospacing="1" w:after="100" w:afterAutospacing="1" w:line="240" w:lineRule="auto"/>
        <w:jc w:val="both"/>
        <w:rPr>
          <w:rFonts w:ascii="Calibri" w:eastAsia="Times New Roman" w:hAnsi="Calibri" w:cs="Arial"/>
          <w:sz w:val="24"/>
          <w:szCs w:val="24"/>
          <w:lang w:eastAsia="fr-FR"/>
        </w:rPr>
      </w:pPr>
      <w:r w:rsidRPr="00343AF3">
        <w:rPr>
          <w:rFonts w:ascii="Calibri" w:eastAsia="Times New Roman" w:hAnsi="Calibri" w:cs="Arial"/>
          <w:sz w:val="24"/>
          <w:szCs w:val="24"/>
          <w:lang w:eastAsia="fr-FR"/>
        </w:rPr>
        <w:t xml:space="preserve">On distingue généralement plusieurs formes de consommation. </w:t>
      </w:r>
    </w:p>
    <w:p w:rsidR="001A0C05" w:rsidRPr="00343AF3" w:rsidRDefault="001A0C05" w:rsidP="002E0F4E">
      <w:pPr>
        <w:spacing w:before="100" w:beforeAutospacing="1" w:after="100" w:afterAutospacing="1" w:line="240" w:lineRule="auto"/>
        <w:jc w:val="both"/>
        <w:rPr>
          <w:rFonts w:ascii="Calibri" w:eastAsia="Times New Roman" w:hAnsi="Calibri" w:cs="Arial"/>
          <w:sz w:val="24"/>
          <w:szCs w:val="24"/>
          <w:lang w:eastAsia="fr-FR"/>
        </w:rPr>
      </w:pPr>
      <w:r w:rsidRPr="00343AF3">
        <w:rPr>
          <w:rFonts w:ascii="Calibri" w:eastAsia="Times New Roman" w:hAnsi="Calibri" w:cs="Arial"/>
          <w:sz w:val="24"/>
          <w:szCs w:val="24"/>
          <w:lang w:eastAsia="fr-FR"/>
        </w:rPr>
        <w:t xml:space="preserve">Selon la nature du consommateur, entre la consommation finale (le dernier utilisateur, le ménage) et la consommation intermédiaire (consommation des entreprises dans un but de production) </w:t>
      </w:r>
    </w:p>
    <w:p w:rsidR="001A0C05" w:rsidRPr="00343AF3" w:rsidRDefault="001A0C05" w:rsidP="002E0F4E">
      <w:pPr>
        <w:spacing w:before="100" w:beforeAutospacing="1" w:after="100" w:afterAutospacing="1" w:line="240" w:lineRule="auto"/>
        <w:jc w:val="both"/>
        <w:rPr>
          <w:rFonts w:ascii="Calibri" w:eastAsia="Times New Roman" w:hAnsi="Calibri" w:cs="Arial"/>
          <w:sz w:val="24"/>
          <w:szCs w:val="24"/>
          <w:lang w:eastAsia="fr-FR"/>
        </w:rPr>
      </w:pPr>
      <w:r w:rsidRPr="00343AF3">
        <w:rPr>
          <w:rFonts w:ascii="Calibri" w:eastAsia="Times New Roman" w:hAnsi="Calibri" w:cs="Arial"/>
          <w:sz w:val="24"/>
          <w:szCs w:val="24"/>
          <w:lang w:eastAsia="fr-FR"/>
        </w:rPr>
        <w:t xml:space="preserve">Selon la nature du produit consommé, entre la consommation de biens fongibles (immédiatement détruit dès la première utilisation), de biens semi durables et durables, </w:t>
      </w:r>
    </w:p>
    <w:p w:rsidR="001A0C05" w:rsidRPr="00343AF3" w:rsidRDefault="001A0C05" w:rsidP="002E0F4E">
      <w:pPr>
        <w:spacing w:before="100" w:beforeAutospacing="1" w:after="100" w:afterAutospacing="1" w:line="240" w:lineRule="auto"/>
        <w:jc w:val="both"/>
        <w:rPr>
          <w:rFonts w:ascii="Calibri" w:eastAsia="Times New Roman" w:hAnsi="Calibri" w:cs="Arial"/>
          <w:sz w:val="24"/>
          <w:szCs w:val="24"/>
          <w:lang w:eastAsia="fr-FR"/>
        </w:rPr>
      </w:pPr>
      <w:r w:rsidRPr="00343AF3">
        <w:rPr>
          <w:rFonts w:ascii="Calibri" w:eastAsia="Times New Roman" w:hAnsi="Calibri" w:cs="Arial"/>
          <w:sz w:val="24"/>
          <w:szCs w:val="24"/>
          <w:lang w:eastAsia="fr-FR"/>
        </w:rPr>
        <w:t xml:space="preserve">Selon le prix de l'utilisation du bien, entre la consommation marchande (le bien est proposé à un prix supérieur à son coût de revient) et la consommation non marchande (le bien est proposé à un prix inférieur à son coût de revient, comme pour les transports en commun urbains, voire sans prix, comme pour la scolarisation obligatoire). </w:t>
      </w:r>
    </w:p>
    <w:p w:rsidR="001A0C05" w:rsidRPr="00343AF3" w:rsidRDefault="001A0C05" w:rsidP="002E0F4E">
      <w:pPr>
        <w:spacing w:before="100" w:beforeAutospacing="1" w:after="100" w:afterAutospacing="1" w:line="240" w:lineRule="auto"/>
        <w:jc w:val="both"/>
        <w:rPr>
          <w:rFonts w:ascii="Calibri" w:eastAsia="Times New Roman" w:hAnsi="Calibri" w:cs="Arial"/>
          <w:sz w:val="24"/>
          <w:szCs w:val="24"/>
          <w:lang w:eastAsia="fr-FR"/>
        </w:rPr>
      </w:pPr>
      <w:r w:rsidRPr="00343AF3">
        <w:rPr>
          <w:rFonts w:ascii="Calibri" w:eastAsia="Times New Roman" w:hAnsi="Calibri" w:cs="Arial"/>
          <w:sz w:val="24"/>
          <w:szCs w:val="24"/>
          <w:lang w:eastAsia="fr-FR"/>
        </w:rPr>
        <w:t xml:space="preserve">La consommation est lié d'une part au revenu (consommation marchande) mais aussi à l'offre de l'État de services publics dont la consommation est rendue obligatoire par la loi (l'école) ou dont la consommation relève de l'utilisation de biens collectifs tels que la santé, la justice (consommation </w:t>
      </w:r>
      <w:proofErr w:type="spellStart"/>
      <w:r w:rsidRPr="00343AF3">
        <w:rPr>
          <w:rFonts w:ascii="Calibri" w:eastAsia="Times New Roman" w:hAnsi="Calibri" w:cs="Arial"/>
          <w:sz w:val="24"/>
          <w:szCs w:val="24"/>
          <w:lang w:eastAsia="fr-FR"/>
        </w:rPr>
        <w:t>non-marchande</w:t>
      </w:r>
      <w:proofErr w:type="spellEnd"/>
      <w:r w:rsidRPr="00343AF3">
        <w:rPr>
          <w:rFonts w:ascii="Calibri" w:eastAsia="Times New Roman" w:hAnsi="Calibri" w:cs="Arial"/>
          <w:sz w:val="24"/>
          <w:szCs w:val="24"/>
          <w:lang w:eastAsia="fr-FR"/>
        </w:rPr>
        <w:t xml:space="preserve">). Ainsi, de nombreux facteurs viennent compléter, et complexifier, le lien entre consommation et revenus, en termes micro et macro économiques. Les effets de ces facteurs sont perceptibles dans le constat de l'évolution de la consommation. </w:t>
      </w:r>
    </w:p>
    <w:p w:rsidR="001A0C05" w:rsidRPr="00B41A82" w:rsidRDefault="001A0C05" w:rsidP="002E0F4E">
      <w:pPr>
        <w:spacing w:before="100" w:beforeAutospacing="1" w:after="100" w:afterAutospacing="1" w:line="240" w:lineRule="auto"/>
        <w:jc w:val="both"/>
        <w:rPr>
          <w:rFonts w:ascii="Arial" w:eastAsia="Times New Roman" w:hAnsi="Arial" w:cs="Times New Roman"/>
          <w:b/>
          <w:color w:val="CC0000"/>
          <w:lang w:eastAsia="fr-FR"/>
        </w:rPr>
      </w:pPr>
      <w:r w:rsidRPr="00B41A82">
        <w:rPr>
          <w:rFonts w:ascii="Arial" w:eastAsia="Times New Roman" w:hAnsi="Arial" w:cs="Times New Roman"/>
          <w:b/>
          <w:color w:val="CC0000"/>
          <w:lang w:eastAsia="fr-FR"/>
        </w:rPr>
        <w:t xml:space="preserve">La consommation finale des ménages </w:t>
      </w:r>
    </w:p>
    <w:p w:rsidR="001A0C05" w:rsidRDefault="001A0C05" w:rsidP="002E0F4E">
      <w:pPr>
        <w:spacing w:line="240" w:lineRule="auto"/>
        <w:jc w:val="both"/>
        <w:rPr>
          <w:rFonts w:ascii="Calibri" w:eastAsia="Times New Roman" w:hAnsi="Calibri" w:cs="Arial"/>
          <w:sz w:val="24"/>
          <w:szCs w:val="24"/>
          <w:lang w:eastAsia="fr-FR"/>
        </w:rPr>
      </w:pPr>
      <w:r w:rsidRPr="00343AF3">
        <w:rPr>
          <w:rFonts w:ascii="Calibri" w:eastAsia="Times New Roman" w:hAnsi="Calibri" w:cs="Arial"/>
          <w:sz w:val="24"/>
          <w:szCs w:val="24"/>
          <w:lang w:eastAsia="fr-FR"/>
        </w:rPr>
        <w:t xml:space="preserve">Les ménages utilisent, pour la satisfaction de leurs besoins, des produits qui peuvent être regroupés de différentes manières : </w:t>
      </w:r>
    </w:p>
    <w:p w:rsidR="005C4B3F" w:rsidRPr="00343AF3" w:rsidRDefault="005C4B3F" w:rsidP="002E0F4E">
      <w:pPr>
        <w:spacing w:line="240" w:lineRule="auto"/>
        <w:jc w:val="both"/>
        <w:rPr>
          <w:rFonts w:ascii="Calibri" w:eastAsia="Times New Roman" w:hAnsi="Calibri" w:cs="Arial"/>
          <w:sz w:val="24"/>
          <w:szCs w:val="24"/>
          <w:lang w:eastAsia="fr-FR"/>
        </w:rPr>
      </w:pPr>
    </w:p>
    <w:p w:rsidR="001A0C05" w:rsidRDefault="001A0C05" w:rsidP="002E0F4E">
      <w:pPr>
        <w:numPr>
          <w:ilvl w:val="0"/>
          <w:numId w:val="3"/>
        </w:numPr>
        <w:spacing w:line="240" w:lineRule="auto"/>
        <w:ind w:left="1440"/>
        <w:jc w:val="both"/>
        <w:rPr>
          <w:rFonts w:ascii="Calibri" w:eastAsia="Times New Roman" w:hAnsi="Calibri" w:cs="Arial"/>
          <w:sz w:val="24"/>
          <w:szCs w:val="24"/>
          <w:lang w:eastAsia="fr-FR"/>
        </w:rPr>
      </w:pPr>
      <w:r w:rsidRPr="00343AF3">
        <w:rPr>
          <w:rFonts w:ascii="Calibri" w:eastAsia="Times New Roman" w:hAnsi="Calibri" w:cs="Arial"/>
          <w:sz w:val="24"/>
          <w:szCs w:val="24"/>
          <w:lang w:eastAsia="fr-FR"/>
        </w:rPr>
        <w:t xml:space="preserve">Selon le processus de production, on distingue les biens (agricoles </w:t>
      </w:r>
      <w:r w:rsidR="00347FCF">
        <w:rPr>
          <w:rFonts w:ascii="Calibri" w:eastAsia="Times New Roman" w:hAnsi="Calibri" w:cs="Arial"/>
          <w:sz w:val="24"/>
          <w:szCs w:val="24"/>
          <w:lang w:eastAsia="fr-FR"/>
        </w:rPr>
        <w:t>ou industriels) et les services,</w:t>
      </w:r>
    </w:p>
    <w:p w:rsidR="005C4B3F" w:rsidRPr="00343AF3" w:rsidRDefault="005C4B3F" w:rsidP="005C4B3F">
      <w:pPr>
        <w:spacing w:line="240" w:lineRule="auto"/>
        <w:ind w:left="1440"/>
        <w:jc w:val="both"/>
        <w:rPr>
          <w:rFonts w:ascii="Calibri" w:eastAsia="Times New Roman" w:hAnsi="Calibri" w:cs="Arial"/>
          <w:sz w:val="24"/>
          <w:szCs w:val="24"/>
          <w:lang w:eastAsia="fr-FR"/>
        </w:rPr>
      </w:pPr>
    </w:p>
    <w:p w:rsidR="001A0C05" w:rsidRDefault="001A0C05" w:rsidP="002E0F4E">
      <w:pPr>
        <w:numPr>
          <w:ilvl w:val="0"/>
          <w:numId w:val="3"/>
        </w:numPr>
        <w:spacing w:line="240" w:lineRule="auto"/>
        <w:ind w:left="1440"/>
        <w:jc w:val="both"/>
        <w:rPr>
          <w:rFonts w:ascii="Calibri" w:eastAsia="Times New Roman" w:hAnsi="Calibri" w:cs="Arial"/>
          <w:sz w:val="24"/>
          <w:szCs w:val="24"/>
          <w:lang w:eastAsia="fr-FR"/>
        </w:rPr>
      </w:pPr>
      <w:r w:rsidRPr="00343AF3">
        <w:rPr>
          <w:rFonts w:ascii="Calibri" w:eastAsia="Times New Roman" w:hAnsi="Calibri" w:cs="Arial"/>
          <w:sz w:val="24"/>
          <w:szCs w:val="24"/>
          <w:lang w:eastAsia="fr-FR"/>
        </w:rPr>
        <w:t>Selon qu'ils sont achetés par les ménages ou financés en partie par les administrations, on distingue les serv</w:t>
      </w:r>
      <w:r w:rsidR="00347FCF">
        <w:rPr>
          <w:rFonts w:ascii="Calibri" w:eastAsia="Times New Roman" w:hAnsi="Calibri" w:cs="Arial"/>
          <w:sz w:val="24"/>
          <w:szCs w:val="24"/>
          <w:lang w:eastAsia="fr-FR"/>
        </w:rPr>
        <w:t>ices marchands et non marchands,</w:t>
      </w:r>
    </w:p>
    <w:p w:rsidR="005C4B3F" w:rsidRPr="00343AF3" w:rsidRDefault="005C4B3F" w:rsidP="005C4B3F">
      <w:pPr>
        <w:spacing w:line="240" w:lineRule="auto"/>
        <w:ind w:left="1440"/>
        <w:jc w:val="both"/>
        <w:rPr>
          <w:rFonts w:ascii="Calibri" w:eastAsia="Times New Roman" w:hAnsi="Calibri" w:cs="Arial"/>
          <w:sz w:val="24"/>
          <w:szCs w:val="24"/>
          <w:lang w:eastAsia="fr-FR"/>
        </w:rPr>
      </w:pPr>
    </w:p>
    <w:p w:rsidR="001A0C05" w:rsidRPr="00343AF3" w:rsidRDefault="001A0C05" w:rsidP="002E0F4E">
      <w:pPr>
        <w:numPr>
          <w:ilvl w:val="0"/>
          <w:numId w:val="3"/>
        </w:numPr>
        <w:spacing w:line="240" w:lineRule="auto"/>
        <w:ind w:left="1440"/>
        <w:jc w:val="both"/>
        <w:rPr>
          <w:rFonts w:ascii="Calibri" w:eastAsia="Times New Roman" w:hAnsi="Calibri" w:cs="Arial"/>
          <w:sz w:val="24"/>
          <w:szCs w:val="24"/>
          <w:lang w:eastAsia="fr-FR"/>
        </w:rPr>
      </w:pPr>
      <w:r w:rsidRPr="00343AF3">
        <w:rPr>
          <w:rFonts w:ascii="Calibri" w:eastAsia="Times New Roman" w:hAnsi="Calibri" w:cs="Arial"/>
          <w:sz w:val="24"/>
          <w:szCs w:val="24"/>
          <w:lang w:eastAsia="fr-FR"/>
        </w:rPr>
        <w:t xml:space="preserve">Les « fonctions » regroupent les produits selon 13 besoins principaux satisfaits, ce qui donne lieu au calcul des coefficients budgétaires. </w:t>
      </w:r>
    </w:p>
    <w:p w:rsidR="001A0C05" w:rsidRDefault="001A0C05" w:rsidP="002E0F4E">
      <w:pPr>
        <w:spacing w:before="100" w:beforeAutospacing="1" w:afterAutospacing="1" w:line="240" w:lineRule="auto"/>
        <w:jc w:val="both"/>
        <w:rPr>
          <w:rFonts w:ascii="Calibri" w:eastAsia="Times New Roman" w:hAnsi="Calibri" w:cs="Arial"/>
          <w:sz w:val="24"/>
          <w:szCs w:val="24"/>
          <w:lang w:eastAsia="fr-FR"/>
        </w:rPr>
      </w:pPr>
      <w:r w:rsidRPr="00343AF3">
        <w:rPr>
          <w:rFonts w:ascii="Calibri" w:eastAsia="Times New Roman" w:hAnsi="Calibri" w:cs="Arial"/>
          <w:sz w:val="24"/>
          <w:szCs w:val="24"/>
          <w:lang w:eastAsia="fr-FR"/>
        </w:rPr>
        <w:t xml:space="preserve">La consommation finale des ménages est la somme de la dépense de consommation des ménages et des consommations individualisables incluses dans la dépense de consommation finale des administrations (dépense de santé, d'éducation, de logement restant à leur charge après remboursements éventuels). </w:t>
      </w:r>
    </w:p>
    <w:p w:rsidR="005C4B3F" w:rsidRDefault="005C4B3F" w:rsidP="002E0F4E">
      <w:pPr>
        <w:spacing w:before="100" w:beforeAutospacing="1" w:afterAutospacing="1" w:line="240" w:lineRule="auto"/>
        <w:jc w:val="both"/>
        <w:rPr>
          <w:rFonts w:ascii="Calibri" w:eastAsia="Times New Roman" w:hAnsi="Calibri" w:cs="Arial"/>
          <w:sz w:val="24"/>
          <w:szCs w:val="24"/>
          <w:lang w:eastAsia="fr-FR"/>
        </w:rPr>
      </w:pPr>
    </w:p>
    <w:p w:rsidR="005C4B3F" w:rsidRDefault="005C4B3F" w:rsidP="002E0F4E">
      <w:pPr>
        <w:spacing w:before="100" w:beforeAutospacing="1" w:afterAutospacing="1" w:line="240" w:lineRule="auto"/>
        <w:jc w:val="both"/>
        <w:rPr>
          <w:rFonts w:ascii="Calibri" w:eastAsia="Times New Roman" w:hAnsi="Calibri" w:cs="Arial"/>
          <w:sz w:val="24"/>
          <w:szCs w:val="24"/>
          <w:lang w:eastAsia="fr-FR"/>
        </w:rPr>
      </w:pPr>
    </w:p>
    <w:p w:rsidR="005C4B3F" w:rsidRDefault="005C4B3F" w:rsidP="002E0F4E">
      <w:pPr>
        <w:spacing w:before="100" w:beforeAutospacing="1" w:afterAutospacing="1" w:line="240" w:lineRule="auto"/>
        <w:jc w:val="both"/>
        <w:rPr>
          <w:rFonts w:ascii="Calibri" w:eastAsia="Times New Roman" w:hAnsi="Calibri" w:cs="Arial"/>
          <w:sz w:val="24"/>
          <w:szCs w:val="24"/>
          <w:lang w:eastAsia="fr-FR"/>
        </w:rPr>
      </w:pPr>
    </w:p>
    <w:tbl>
      <w:tblPr>
        <w:tblW w:w="4500" w:type="pct"/>
        <w:tblCellSpacing w:w="15" w:type="dxa"/>
        <w:tblCellMar>
          <w:top w:w="30" w:type="dxa"/>
          <w:left w:w="30" w:type="dxa"/>
          <w:bottom w:w="30" w:type="dxa"/>
          <w:right w:w="30" w:type="dxa"/>
        </w:tblCellMar>
        <w:tblLook w:val="04A0" w:firstRow="1" w:lastRow="0" w:firstColumn="1" w:lastColumn="0" w:noHBand="0" w:noVBand="1"/>
      </w:tblPr>
      <w:tblGrid>
        <w:gridCol w:w="2160"/>
        <w:gridCol w:w="4099"/>
        <w:gridCol w:w="3268"/>
      </w:tblGrid>
      <w:tr w:rsidR="001A0C05" w:rsidRPr="00343AF3" w:rsidTr="001A0C05">
        <w:trPr>
          <w:tblCellSpacing w:w="15" w:type="dxa"/>
        </w:trPr>
        <w:tc>
          <w:tcPr>
            <w:tcW w:w="0" w:type="auto"/>
            <w:gridSpan w:val="3"/>
            <w:shd w:val="clear" w:color="auto" w:fill="FFFFCC"/>
            <w:vAlign w:val="center"/>
            <w:hideMark/>
          </w:tcPr>
          <w:p w:rsidR="001A0C05" w:rsidRPr="00343AF3" w:rsidRDefault="001A0C05" w:rsidP="001A0C05">
            <w:pPr>
              <w:spacing w:line="240" w:lineRule="auto"/>
              <w:rPr>
                <w:rFonts w:ascii="Calibri" w:eastAsia="Times New Roman" w:hAnsi="Calibri" w:cs="Arial"/>
                <w:sz w:val="24"/>
                <w:szCs w:val="24"/>
                <w:lang w:eastAsia="fr-FR"/>
              </w:rPr>
            </w:pPr>
            <w:r w:rsidRPr="005C4B3F">
              <w:rPr>
                <w:rFonts w:ascii="Calibri" w:eastAsia="Times New Roman" w:hAnsi="Calibri" w:cs="Arial"/>
                <w:color w:val="C00000"/>
                <w:sz w:val="24"/>
                <w:szCs w:val="24"/>
                <w:lang w:eastAsia="fr-FR"/>
              </w:rPr>
              <w:lastRenderedPageBreak/>
              <w:t>ZOOM 3 - La consommation finale</w:t>
            </w:r>
            <w:r w:rsidRPr="00343AF3">
              <w:rPr>
                <w:rFonts w:ascii="Calibri" w:eastAsia="Times New Roman" w:hAnsi="Calibri" w:cs="Arial"/>
                <w:sz w:val="24"/>
                <w:szCs w:val="24"/>
                <w:lang w:eastAsia="fr-FR"/>
              </w:rPr>
              <w:t xml:space="preserve"> : </w:t>
            </w:r>
            <w:r w:rsidRPr="00343AF3">
              <w:rPr>
                <w:rFonts w:ascii="Calibri" w:eastAsia="Times New Roman" w:hAnsi="Calibri" w:cs="Arial"/>
                <w:sz w:val="24"/>
                <w:szCs w:val="24"/>
                <w:lang w:eastAsia="fr-FR"/>
              </w:rPr>
              <w:br/>
              <w:t xml:space="preserve">Utilisation de biens et services pour la satisfaction directe des besoins humains. </w:t>
            </w:r>
          </w:p>
        </w:tc>
      </w:tr>
      <w:tr w:rsidR="001A0C05" w:rsidRPr="00492FFD" w:rsidTr="001A0C05">
        <w:trPr>
          <w:tblCellSpacing w:w="15" w:type="dxa"/>
        </w:trPr>
        <w:tc>
          <w:tcPr>
            <w:tcW w:w="0" w:type="auto"/>
            <w:gridSpan w:val="2"/>
            <w:shd w:val="clear" w:color="auto" w:fill="FFFFCC"/>
            <w:vAlign w:val="center"/>
            <w:hideMark/>
          </w:tcPr>
          <w:p w:rsidR="001A0C05" w:rsidRPr="00492FFD" w:rsidRDefault="001A0C05" w:rsidP="001A0C05">
            <w:pPr>
              <w:spacing w:line="240" w:lineRule="auto"/>
              <w:rPr>
                <w:rFonts w:ascii="Calibri" w:eastAsia="Times New Roman" w:hAnsi="Calibri" w:cs="Arial"/>
                <w:b/>
                <w:sz w:val="24"/>
                <w:szCs w:val="24"/>
                <w:lang w:eastAsia="fr-FR"/>
              </w:rPr>
            </w:pPr>
            <w:r w:rsidRPr="00492FFD">
              <w:rPr>
                <w:rFonts w:ascii="Calibri" w:eastAsia="Times New Roman" w:hAnsi="Calibri" w:cs="Arial"/>
                <w:b/>
                <w:sz w:val="24"/>
                <w:szCs w:val="24"/>
                <w:lang w:eastAsia="fr-FR"/>
              </w:rPr>
              <w:t>La consommation des ménages</w:t>
            </w:r>
          </w:p>
        </w:tc>
        <w:tc>
          <w:tcPr>
            <w:tcW w:w="0" w:type="auto"/>
            <w:shd w:val="clear" w:color="auto" w:fill="FFFFCC"/>
            <w:vAlign w:val="center"/>
            <w:hideMark/>
          </w:tcPr>
          <w:p w:rsidR="001A0C05" w:rsidRPr="00492FFD" w:rsidRDefault="001A0C05" w:rsidP="001A0C05">
            <w:pPr>
              <w:spacing w:line="240" w:lineRule="auto"/>
              <w:rPr>
                <w:rFonts w:ascii="Calibri" w:eastAsia="Times New Roman" w:hAnsi="Calibri" w:cs="Arial"/>
                <w:b/>
                <w:sz w:val="24"/>
                <w:szCs w:val="24"/>
                <w:lang w:eastAsia="fr-FR"/>
              </w:rPr>
            </w:pPr>
            <w:r w:rsidRPr="00492FFD">
              <w:rPr>
                <w:rFonts w:ascii="Calibri" w:eastAsia="Times New Roman" w:hAnsi="Calibri" w:cs="Arial"/>
                <w:b/>
                <w:sz w:val="24"/>
                <w:szCs w:val="24"/>
                <w:lang w:eastAsia="fr-FR"/>
              </w:rPr>
              <w:t xml:space="preserve">La consommation des administrations publiques </w:t>
            </w:r>
          </w:p>
        </w:tc>
      </w:tr>
      <w:tr w:rsidR="001A0C05" w:rsidRPr="00343AF3" w:rsidTr="001A0C05">
        <w:trPr>
          <w:tblCellSpacing w:w="15" w:type="dxa"/>
        </w:trPr>
        <w:tc>
          <w:tcPr>
            <w:tcW w:w="0" w:type="auto"/>
            <w:vMerge w:val="restart"/>
            <w:shd w:val="clear" w:color="auto" w:fill="FFFFCC"/>
            <w:vAlign w:val="center"/>
            <w:hideMark/>
          </w:tcPr>
          <w:p w:rsidR="001A0C05" w:rsidRPr="00B41A82" w:rsidRDefault="001A0C05" w:rsidP="001A0C05">
            <w:pPr>
              <w:spacing w:line="240" w:lineRule="auto"/>
              <w:rPr>
                <w:rFonts w:ascii="Calibri" w:eastAsia="Times New Roman" w:hAnsi="Calibri" w:cs="Arial"/>
                <w:b/>
                <w:sz w:val="24"/>
                <w:szCs w:val="24"/>
                <w:lang w:eastAsia="fr-FR"/>
              </w:rPr>
            </w:pPr>
            <w:r w:rsidRPr="00B41A82">
              <w:rPr>
                <w:rFonts w:ascii="Calibri" w:eastAsia="Times New Roman" w:hAnsi="Calibri" w:cs="Arial"/>
                <w:b/>
                <w:sz w:val="24"/>
                <w:szCs w:val="24"/>
                <w:lang w:eastAsia="fr-FR"/>
              </w:rPr>
              <w:t>La consommation effective des ménages est composée de :</w:t>
            </w:r>
          </w:p>
        </w:tc>
        <w:tc>
          <w:tcPr>
            <w:tcW w:w="0" w:type="auto"/>
            <w:shd w:val="clear" w:color="auto" w:fill="FFFFCC"/>
            <w:vAlign w:val="center"/>
            <w:hideMark/>
          </w:tcPr>
          <w:p w:rsidR="001A0C05" w:rsidRPr="00B41A82" w:rsidRDefault="001A0C05" w:rsidP="001A0C05">
            <w:pPr>
              <w:spacing w:line="240" w:lineRule="auto"/>
              <w:rPr>
                <w:rFonts w:ascii="Calibri" w:eastAsia="Times New Roman" w:hAnsi="Calibri" w:cs="Arial"/>
                <w:b/>
                <w:sz w:val="24"/>
                <w:szCs w:val="24"/>
                <w:lang w:eastAsia="fr-FR"/>
              </w:rPr>
            </w:pPr>
            <w:r w:rsidRPr="00B41A82">
              <w:rPr>
                <w:rFonts w:ascii="Calibri" w:eastAsia="Times New Roman" w:hAnsi="Calibri" w:cs="Arial"/>
                <w:b/>
                <w:sz w:val="24"/>
                <w:szCs w:val="24"/>
                <w:lang w:eastAsia="fr-FR"/>
              </w:rPr>
              <w:t>1- la dépense de consommation finale des ménages</w:t>
            </w:r>
            <w:r w:rsidRPr="00B857B5">
              <w:rPr>
                <w:rFonts w:ascii="Calibri" w:eastAsia="Times New Roman" w:hAnsi="Calibri" w:cs="Arial"/>
                <w:sz w:val="24"/>
                <w:szCs w:val="24"/>
                <w:lang w:eastAsia="fr-FR"/>
              </w:rPr>
              <w:t>. Elle se limite aux dépenses que les ménages supportent directement.</w:t>
            </w:r>
            <w:r w:rsidRPr="00B41A82">
              <w:rPr>
                <w:rFonts w:ascii="Calibri" w:eastAsia="Times New Roman" w:hAnsi="Calibri" w:cs="Arial"/>
                <w:b/>
                <w:sz w:val="24"/>
                <w:szCs w:val="24"/>
                <w:lang w:eastAsia="fr-FR"/>
              </w:rPr>
              <w:t xml:space="preserve"> </w:t>
            </w:r>
          </w:p>
          <w:p w:rsidR="001A0C05" w:rsidRPr="00343AF3" w:rsidRDefault="001A0C05" w:rsidP="001A0C05">
            <w:pPr>
              <w:spacing w:before="100" w:beforeAutospacing="1" w:after="100" w:afterAutospacing="1" w:line="240" w:lineRule="auto"/>
              <w:rPr>
                <w:rFonts w:ascii="Calibri" w:eastAsia="Times New Roman" w:hAnsi="Calibri" w:cs="Arial"/>
                <w:sz w:val="24"/>
                <w:szCs w:val="24"/>
                <w:lang w:eastAsia="fr-FR"/>
              </w:rPr>
            </w:pPr>
            <w:r w:rsidRPr="00343AF3">
              <w:rPr>
                <w:rFonts w:ascii="Calibri" w:eastAsia="Times New Roman" w:hAnsi="Calibri" w:cs="Arial"/>
                <w:sz w:val="24"/>
                <w:szCs w:val="24"/>
                <w:lang w:eastAsia="fr-FR"/>
              </w:rPr>
              <w:t>Elle comprend :</w:t>
            </w:r>
          </w:p>
          <w:p w:rsidR="001A0C05" w:rsidRPr="00343AF3" w:rsidRDefault="001A0C05" w:rsidP="001A0C05">
            <w:pPr>
              <w:numPr>
                <w:ilvl w:val="0"/>
                <w:numId w:val="4"/>
              </w:numPr>
              <w:spacing w:before="100" w:beforeAutospacing="1" w:after="100" w:afterAutospacing="1" w:line="240" w:lineRule="auto"/>
              <w:rPr>
                <w:rFonts w:ascii="Calibri" w:eastAsia="Times New Roman" w:hAnsi="Calibri" w:cs="Arial"/>
                <w:sz w:val="24"/>
                <w:szCs w:val="24"/>
                <w:lang w:eastAsia="fr-FR"/>
              </w:rPr>
            </w:pPr>
            <w:r w:rsidRPr="00343AF3">
              <w:rPr>
                <w:rFonts w:ascii="Calibri" w:eastAsia="Times New Roman" w:hAnsi="Calibri" w:cs="Arial"/>
                <w:sz w:val="24"/>
                <w:szCs w:val="24"/>
                <w:lang w:eastAsia="fr-FR"/>
              </w:rPr>
              <w:t xml:space="preserve">La part des dépenses de santé, d'éducation, de logement, restant à leur charge, après remboursements éventuels. </w:t>
            </w:r>
          </w:p>
          <w:p w:rsidR="001A0C05" w:rsidRPr="00343AF3" w:rsidRDefault="001A0C05" w:rsidP="001A0C05">
            <w:pPr>
              <w:numPr>
                <w:ilvl w:val="0"/>
                <w:numId w:val="4"/>
              </w:numPr>
              <w:spacing w:before="100" w:beforeAutospacing="1" w:after="100" w:afterAutospacing="1" w:line="240" w:lineRule="auto"/>
              <w:rPr>
                <w:rFonts w:ascii="Calibri" w:eastAsia="Times New Roman" w:hAnsi="Calibri" w:cs="Arial"/>
                <w:sz w:val="24"/>
                <w:szCs w:val="24"/>
                <w:lang w:eastAsia="fr-FR"/>
              </w:rPr>
            </w:pPr>
            <w:r w:rsidRPr="00343AF3">
              <w:rPr>
                <w:rFonts w:ascii="Calibri" w:eastAsia="Times New Roman" w:hAnsi="Calibri" w:cs="Arial"/>
                <w:sz w:val="24"/>
                <w:szCs w:val="24"/>
                <w:lang w:eastAsia="fr-FR"/>
              </w:rPr>
              <w:t>Les loyers imputés, que les ménages propriétaires de leur résidence principale se versent implicitement à eux-mêmes.</w:t>
            </w:r>
          </w:p>
          <w:p w:rsidR="001A0C05" w:rsidRPr="00343AF3" w:rsidRDefault="001A0C05" w:rsidP="001A0C05">
            <w:pPr>
              <w:numPr>
                <w:ilvl w:val="0"/>
                <w:numId w:val="4"/>
              </w:numPr>
              <w:spacing w:before="100" w:beforeAutospacing="1" w:after="100" w:afterAutospacing="1" w:line="240" w:lineRule="auto"/>
              <w:rPr>
                <w:rFonts w:ascii="Calibri" w:eastAsia="Times New Roman" w:hAnsi="Calibri" w:cs="Arial"/>
                <w:sz w:val="24"/>
                <w:szCs w:val="24"/>
                <w:lang w:eastAsia="fr-FR"/>
              </w:rPr>
            </w:pPr>
            <w:r w:rsidRPr="00343AF3">
              <w:rPr>
                <w:rFonts w:ascii="Calibri" w:eastAsia="Times New Roman" w:hAnsi="Calibri" w:cs="Arial"/>
                <w:sz w:val="24"/>
                <w:szCs w:val="24"/>
                <w:lang w:eastAsia="fr-FR"/>
              </w:rPr>
              <w:t xml:space="preserve">Les impôts qui permettent le financement de services aux ménages sont inclus dans la consommation finale. (taxe d'enlèvement des ordures ménagères par exemple). </w:t>
            </w:r>
          </w:p>
        </w:tc>
        <w:tc>
          <w:tcPr>
            <w:tcW w:w="0" w:type="auto"/>
            <w:shd w:val="clear" w:color="auto" w:fill="FFFFCC"/>
            <w:hideMark/>
          </w:tcPr>
          <w:p w:rsidR="001A0C05" w:rsidRPr="00343AF3" w:rsidRDefault="001A0C05" w:rsidP="001A0C05">
            <w:pPr>
              <w:spacing w:before="100" w:beforeAutospacing="1" w:after="100" w:afterAutospacing="1" w:line="240" w:lineRule="auto"/>
              <w:rPr>
                <w:rFonts w:ascii="Calibri" w:eastAsia="Times New Roman" w:hAnsi="Calibri" w:cs="Arial"/>
                <w:sz w:val="24"/>
                <w:szCs w:val="24"/>
                <w:lang w:eastAsia="fr-FR"/>
              </w:rPr>
            </w:pPr>
            <w:r w:rsidRPr="00343AF3">
              <w:rPr>
                <w:rFonts w:ascii="Calibri" w:eastAsia="Times New Roman" w:hAnsi="Calibri" w:cs="Arial"/>
                <w:sz w:val="24"/>
                <w:szCs w:val="24"/>
                <w:lang w:eastAsia="fr-FR"/>
              </w:rPr>
              <w:t xml:space="preserve">Les services non marchands des administrations sont utilisés en consommation finale par les ménages et les entreprises (la sécurité publique). </w:t>
            </w:r>
          </w:p>
          <w:p w:rsidR="001A0C05" w:rsidRPr="00343AF3" w:rsidRDefault="001A0C05" w:rsidP="001A0C05">
            <w:pPr>
              <w:spacing w:before="100" w:beforeAutospacing="1" w:after="100" w:afterAutospacing="1" w:line="240" w:lineRule="auto"/>
              <w:rPr>
                <w:rFonts w:ascii="Calibri" w:eastAsia="Times New Roman" w:hAnsi="Calibri" w:cs="Arial"/>
                <w:sz w:val="24"/>
                <w:szCs w:val="24"/>
                <w:lang w:eastAsia="fr-FR"/>
              </w:rPr>
            </w:pPr>
            <w:r w:rsidRPr="00343AF3">
              <w:rPr>
                <w:rFonts w:ascii="Calibri" w:eastAsia="Times New Roman" w:hAnsi="Calibri" w:cs="Arial"/>
                <w:sz w:val="24"/>
                <w:szCs w:val="24"/>
                <w:lang w:eastAsia="fr-FR"/>
              </w:rPr>
              <w:t>Ils sont comptabilisés comme consommation des administrations.</w:t>
            </w:r>
          </w:p>
        </w:tc>
      </w:tr>
      <w:tr w:rsidR="001A0C05" w:rsidRPr="00343AF3" w:rsidTr="001A0C05">
        <w:trPr>
          <w:tblCellSpacing w:w="15" w:type="dxa"/>
        </w:trPr>
        <w:tc>
          <w:tcPr>
            <w:tcW w:w="0" w:type="auto"/>
            <w:vMerge/>
            <w:vAlign w:val="center"/>
            <w:hideMark/>
          </w:tcPr>
          <w:p w:rsidR="001A0C05" w:rsidRPr="00343AF3" w:rsidRDefault="001A0C05" w:rsidP="001A0C05">
            <w:pPr>
              <w:spacing w:line="240" w:lineRule="auto"/>
              <w:rPr>
                <w:rFonts w:ascii="Calibri" w:eastAsia="Times New Roman" w:hAnsi="Calibri" w:cs="Arial"/>
                <w:sz w:val="24"/>
                <w:szCs w:val="24"/>
                <w:lang w:eastAsia="fr-FR"/>
              </w:rPr>
            </w:pPr>
          </w:p>
        </w:tc>
        <w:tc>
          <w:tcPr>
            <w:tcW w:w="0" w:type="auto"/>
            <w:gridSpan w:val="2"/>
            <w:shd w:val="clear" w:color="auto" w:fill="FFFFCC"/>
            <w:vAlign w:val="center"/>
            <w:hideMark/>
          </w:tcPr>
          <w:p w:rsidR="001A0C05" w:rsidRPr="00343AF3" w:rsidRDefault="001A0C05" w:rsidP="001A0C05">
            <w:pPr>
              <w:spacing w:line="240" w:lineRule="auto"/>
              <w:rPr>
                <w:rFonts w:ascii="Calibri" w:eastAsia="Times New Roman" w:hAnsi="Calibri" w:cs="Arial"/>
                <w:sz w:val="24"/>
                <w:szCs w:val="24"/>
                <w:lang w:eastAsia="fr-FR"/>
              </w:rPr>
            </w:pPr>
            <w:r w:rsidRPr="00B41A82">
              <w:rPr>
                <w:rFonts w:ascii="Calibri" w:eastAsia="Times New Roman" w:hAnsi="Calibri" w:cs="Arial"/>
                <w:b/>
                <w:sz w:val="24"/>
                <w:szCs w:val="24"/>
                <w:lang w:eastAsia="fr-FR"/>
              </w:rPr>
              <w:t xml:space="preserve">2 - les consommations individualisables incluses dans la dépense de consommation finale des administrations </w:t>
            </w:r>
            <w:r w:rsidRPr="00B857B5">
              <w:rPr>
                <w:rFonts w:ascii="Calibri" w:eastAsia="Times New Roman" w:hAnsi="Calibri" w:cs="Arial"/>
                <w:sz w:val="24"/>
                <w:szCs w:val="24"/>
                <w:lang w:eastAsia="fr-FR"/>
              </w:rPr>
              <w:t>sont celles dont les bénéficiaires peuvent être précisément définis</w:t>
            </w:r>
            <w:r w:rsidRPr="00B41A82">
              <w:rPr>
                <w:rFonts w:ascii="Calibri" w:eastAsia="Times New Roman" w:hAnsi="Calibri" w:cs="Arial"/>
                <w:b/>
                <w:sz w:val="24"/>
                <w:szCs w:val="24"/>
                <w:lang w:eastAsia="fr-FR"/>
              </w:rPr>
              <w:t>.</w:t>
            </w:r>
            <w:r w:rsidRPr="00343AF3">
              <w:rPr>
                <w:rFonts w:ascii="Calibri" w:eastAsia="Times New Roman" w:hAnsi="Calibri" w:cs="Arial"/>
                <w:sz w:val="24"/>
                <w:szCs w:val="24"/>
                <w:lang w:eastAsia="fr-FR"/>
              </w:rPr>
              <w:t xml:space="preserve"> Elles correspondent à des prestations en nature (biens ou services) dont bénéficient les ménages (dépenses pour l'éducation et pour la santé).</w:t>
            </w:r>
          </w:p>
        </w:tc>
      </w:tr>
    </w:tbl>
    <w:p w:rsidR="001A0C05" w:rsidRPr="00B41A82" w:rsidRDefault="001A0C05" w:rsidP="001A0C05">
      <w:pPr>
        <w:spacing w:before="100" w:beforeAutospacing="1" w:after="100" w:afterAutospacing="1" w:line="240" w:lineRule="auto"/>
        <w:rPr>
          <w:rFonts w:ascii="Calibri" w:eastAsia="Times New Roman" w:hAnsi="Calibri" w:cs="Arial"/>
          <w:sz w:val="24"/>
          <w:szCs w:val="24"/>
          <w:u w:val="single"/>
          <w:lang w:eastAsia="fr-FR"/>
        </w:rPr>
      </w:pPr>
      <w:r w:rsidRPr="00B41A82">
        <w:rPr>
          <w:rFonts w:ascii="Calibri" w:eastAsia="Times New Roman" w:hAnsi="Calibri" w:cs="Arial"/>
          <w:sz w:val="24"/>
          <w:szCs w:val="24"/>
          <w:u w:val="single"/>
          <w:lang w:eastAsia="fr-FR"/>
        </w:rPr>
        <w:t xml:space="preserve">Source : </w:t>
      </w:r>
      <w:hyperlink r:id="rId19" w:history="1">
        <w:r w:rsidRPr="00B41A82">
          <w:rPr>
            <w:rFonts w:ascii="Calibri" w:eastAsia="Times New Roman" w:hAnsi="Calibri" w:cs="Arial"/>
            <w:sz w:val="24"/>
            <w:szCs w:val="24"/>
            <w:u w:val="single"/>
            <w:lang w:eastAsia="fr-FR"/>
          </w:rPr>
          <w:t xml:space="preserve">http://www.statapprendre.education.fr/insee/cons/combien/definitions.htm </w:t>
        </w:r>
      </w:hyperlink>
    </w:p>
    <w:p w:rsidR="001A0C05" w:rsidRPr="00B41A82" w:rsidRDefault="001A0C05" w:rsidP="001A0C05">
      <w:pPr>
        <w:spacing w:before="100" w:beforeAutospacing="1" w:after="100" w:afterAutospacing="1" w:line="240" w:lineRule="auto"/>
        <w:rPr>
          <w:rFonts w:ascii="Arial" w:eastAsia="Times New Roman" w:hAnsi="Arial" w:cs="Times New Roman"/>
          <w:b/>
          <w:color w:val="CC0000"/>
          <w:lang w:eastAsia="fr-FR"/>
        </w:rPr>
      </w:pPr>
      <w:r w:rsidRPr="00B41A82">
        <w:rPr>
          <w:rFonts w:ascii="Arial" w:eastAsia="Times New Roman" w:hAnsi="Arial" w:cs="Times New Roman"/>
          <w:b/>
          <w:color w:val="CC0000"/>
          <w:lang w:eastAsia="fr-FR"/>
        </w:rPr>
        <w:t xml:space="preserve">Analyse macroéconomique </w:t>
      </w:r>
    </w:p>
    <w:p w:rsidR="001A0C05" w:rsidRPr="00343AF3" w:rsidRDefault="001A0C05" w:rsidP="00347FCF">
      <w:pPr>
        <w:spacing w:before="100" w:beforeAutospacing="1" w:after="100" w:afterAutospacing="1" w:line="240" w:lineRule="auto"/>
        <w:jc w:val="both"/>
        <w:rPr>
          <w:rFonts w:ascii="Calibri" w:eastAsia="Times New Roman" w:hAnsi="Calibri" w:cs="Arial"/>
          <w:sz w:val="24"/>
          <w:szCs w:val="24"/>
          <w:lang w:eastAsia="fr-FR"/>
        </w:rPr>
      </w:pPr>
      <w:r w:rsidRPr="00343AF3">
        <w:rPr>
          <w:rFonts w:ascii="Calibri" w:eastAsia="Times New Roman" w:hAnsi="Calibri" w:cs="Arial"/>
          <w:sz w:val="24"/>
          <w:szCs w:val="24"/>
          <w:lang w:eastAsia="fr-FR"/>
        </w:rPr>
        <w:t xml:space="preserve">Dans l'approche keynésienne, la consommation marchande résulte de la différence entre le revenu et l'épargne : R = C+S. La part moyenne du revenu consacré à la consommation (la propension moyenne à consommer) est globalement constante (82 % du revenu). Cette part moyenne se distingue de la propension marginale à consommer qui relève l'utilisation du dernier revenu perçu (achat exceptionnel en cas de recette exceptionnelle). </w:t>
      </w:r>
    </w:p>
    <w:p w:rsidR="001A0C05" w:rsidRPr="00343AF3" w:rsidRDefault="001A0C05" w:rsidP="00347FCF">
      <w:pPr>
        <w:spacing w:before="100" w:beforeAutospacing="1" w:after="100" w:afterAutospacing="1" w:line="240" w:lineRule="auto"/>
        <w:jc w:val="both"/>
        <w:rPr>
          <w:rFonts w:ascii="Calibri" w:eastAsia="Times New Roman" w:hAnsi="Calibri" w:cs="Arial"/>
          <w:sz w:val="24"/>
          <w:szCs w:val="24"/>
          <w:lang w:eastAsia="fr-FR"/>
        </w:rPr>
      </w:pPr>
      <w:r w:rsidRPr="00343AF3">
        <w:rPr>
          <w:rFonts w:ascii="Calibri" w:eastAsia="Times New Roman" w:hAnsi="Calibri" w:cs="Arial"/>
          <w:sz w:val="24"/>
          <w:szCs w:val="24"/>
          <w:lang w:eastAsia="fr-FR"/>
        </w:rPr>
        <w:t xml:space="preserve">M. Friedman, dans la théorie du revenu permanent complète la relation revenu-consommation en montrant que les individus effectuent des anticipations rationnelles en adaptant leur consommation non pas au revenu immédiat, mais au revenu futur anticipé. Ainsi la consommation peut s'écarter du niveau de revenu actuel en fonction d'une prévision d'accroissement (ou de réduction) des ressources. </w:t>
      </w:r>
    </w:p>
    <w:p w:rsidR="001A0C05" w:rsidRPr="00343AF3" w:rsidRDefault="001A0C05" w:rsidP="00347FCF">
      <w:pPr>
        <w:spacing w:before="100" w:beforeAutospacing="1" w:after="100" w:afterAutospacing="1" w:line="240" w:lineRule="auto"/>
        <w:jc w:val="both"/>
        <w:rPr>
          <w:rFonts w:ascii="Calibri" w:eastAsia="Times New Roman" w:hAnsi="Calibri" w:cs="Arial"/>
          <w:sz w:val="24"/>
          <w:szCs w:val="24"/>
          <w:lang w:eastAsia="fr-FR"/>
        </w:rPr>
      </w:pPr>
      <w:r w:rsidRPr="00343AF3">
        <w:rPr>
          <w:rFonts w:ascii="Calibri" w:eastAsia="Times New Roman" w:hAnsi="Calibri" w:cs="Arial"/>
          <w:sz w:val="24"/>
          <w:szCs w:val="24"/>
          <w:lang w:eastAsia="fr-FR"/>
        </w:rPr>
        <w:t xml:space="preserve">La théorie du cycle de vie, de F. </w:t>
      </w:r>
      <w:proofErr w:type="spellStart"/>
      <w:r w:rsidRPr="00343AF3">
        <w:rPr>
          <w:rFonts w:ascii="Calibri" w:eastAsia="Times New Roman" w:hAnsi="Calibri" w:cs="Arial"/>
          <w:sz w:val="24"/>
          <w:szCs w:val="24"/>
          <w:lang w:eastAsia="fr-FR"/>
        </w:rPr>
        <w:t>Modigiani</w:t>
      </w:r>
      <w:proofErr w:type="spellEnd"/>
      <w:r w:rsidRPr="00343AF3">
        <w:rPr>
          <w:rFonts w:ascii="Calibri" w:eastAsia="Times New Roman" w:hAnsi="Calibri" w:cs="Arial"/>
          <w:sz w:val="24"/>
          <w:szCs w:val="24"/>
          <w:lang w:eastAsia="fr-FR"/>
        </w:rPr>
        <w:t xml:space="preserve"> (1954) introduit une nouvelle distance entre niveau de revenu et niveau de consommation. Au-delà du revenu, la consommation d'un agent est aussi liée à sa position dans son cycle de vie. Avant la période d'activité, les agents consomment sans disposer d'un revenu propre (les </w:t>
      </w:r>
      <w:r w:rsidRPr="00343AF3">
        <w:rPr>
          <w:rFonts w:ascii="Calibri" w:eastAsia="Times New Roman" w:hAnsi="Calibri" w:cs="Arial"/>
          <w:sz w:val="24"/>
          <w:szCs w:val="24"/>
          <w:lang w:eastAsia="fr-FR"/>
        </w:rPr>
        <w:lastRenderedPageBreak/>
        <w:t xml:space="preserve">adolescents par exemple). Pendant la période d'activité le niveau de consommation des agents est inférieur à leur revenu (constitution d'une épargne de précaution pour les « vieux jours). Enfin, pendant la retraite, le niveau de consommation peut être supérieur au niveau des pensions reçues (par ex., grâce à l'absence de loyer à payer pour les propriétaires de résidence principale) (figure 4). </w:t>
      </w:r>
    </w:p>
    <w:p w:rsidR="001A0C05" w:rsidRPr="00343AF3" w:rsidRDefault="001A0C05" w:rsidP="001A0C05">
      <w:pPr>
        <w:spacing w:before="100" w:beforeAutospacing="1" w:after="100" w:afterAutospacing="1" w:line="240" w:lineRule="auto"/>
        <w:rPr>
          <w:rFonts w:ascii="Calibri" w:eastAsia="Times New Roman" w:hAnsi="Calibri" w:cs="Arial"/>
          <w:sz w:val="24"/>
          <w:szCs w:val="24"/>
          <w:lang w:eastAsia="fr-FR"/>
        </w:rPr>
      </w:pPr>
      <w:r w:rsidRPr="00343AF3">
        <w:rPr>
          <w:rFonts w:ascii="Calibri" w:eastAsia="Times New Roman" w:hAnsi="Calibri" w:cs="Arial"/>
          <w:noProof/>
          <w:sz w:val="24"/>
          <w:szCs w:val="24"/>
          <w:lang w:eastAsia="fr-FR"/>
        </w:rPr>
        <w:drawing>
          <wp:inline distT="0" distB="0" distL="0" distR="0" wp14:anchorId="3B7F80DD" wp14:editId="257F7983">
            <wp:extent cx="3781425" cy="2686050"/>
            <wp:effectExtent l="0" t="0" r="9525" b="0"/>
            <wp:docPr id="6" name="Image 6" descr="C:\Users\Simon\Documents\CERPEG\ressdiscipl\economie\ecogene\Conso_ep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imon\Documents\CERPEG\ressdiscipl\economie\ecogene\Conso_ep_4.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81425" cy="2686050"/>
                    </a:xfrm>
                    <a:prstGeom prst="rect">
                      <a:avLst/>
                    </a:prstGeom>
                    <a:noFill/>
                    <a:ln>
                      <a:noFill/>
                    </a:ln>
                  </pic:spPr>
                </pic:pic>
              </a:graphicData>
            </a:graphic>
          </wp:inline>
        </w:drawing>
      </w:r>
    </w:p>
    <w:p w:rsidR="001A0C05" w:rsidRPr="00343AF3" w:rsidRDefault="001A0C05" w:rsidP="00347FCF">
      <w:pPr>
        <w:spacing w:before="100" w:beforeAutospacing="1" w:after="100" w:afterAutospacing="1" w:line="240" w:lineRule="auto"/>
        <w:jc w:val="both"/>
        <w:rPr>
          <w:rFonts w:ascii="Calibri" w:eastAsia="Times New Roman" w:hAnsi="Calibri" w:cs="Arial"/>
          <w:sz w:val="24"/>
          <w:szCs w:val="24"/>
          <w:lang w:eastAsia="fr-FR"/>
        </w:rPr>
      </w:pPr>
      <w:proofErr w:type="spellStart"/>
      <w:proofErr w:type="gramStart"/>
      <w:r w:rsidRPr="00343AF3">
        <w:rPr>
          <w:rFonts w:ascii="Calibri" w:eastAsia="Times New Roman" w:hAnsi="Calibri" w:cs="Arial"/>
          <w:sz w:val="24"/>
          <w:szCs w:val="24"/>
          <w:lang w:eastAsia="fr-FR"/>
        </w:rPr>
        <w:t>Duesenberry</w:t>
      </w:r>
      <w:proofErr w:type="spellEnd"/>
      <w:r w:rsidRPr="00343AF3">
        <w:rPr>
          <w:rFonts w:ascii="Calibri" w:eastAsia="Times New Roman" w:hAnsi="Calibri" w:cs="Arial"/>
          <w:sz w:val="24"/>
          <w:szCs w:val="24"/>
          <w:lang w:eastAsia="fr-FR"/>
        </w:rPr>
        <w:t xml:space="preserve"> ,</w:t>
      </w:r>
      <w:proofErr w:type="gramEnd"/>
      <w:r w:rsidRPr="00343AF3">
        <w:rPr>
          <w:rFonts w:ascii="Calibri" w:eastAsia="Times New Roman" w:hAnsi="Calibri" w:cs="Arial"/>
          <w:sz w:val="24"/>
          <w:szCs w:val="24"/>
          <w:lang w:eastAsia="fr-FR"/>
        </w:rPr>
        <w:t xml:space="preserve"> avec la théorie du revenu relatif, montre l'importance des effets d'imitation. L'agent est tenté de reproduire le mode de consommation de la PCS « supérieure », produisant ainsi un effet de démonstration. </w:t>
      </w:r>
    </w:p>
    <w:p w:rsidR="001A0C05" w:rsidRPr="00B41A82" w:rsidRDefault="006338F8" w:rsidP="001A0C05">
      <w:pPr>
        <w:spacing w:before="100" w:beforeAutospacing="1" w:after="100" w:afterAutospacing="1" w:line="240" w:lineRule="auto"/>
        <w:rPr>
          <w:rFonts w:ascii="Arial" w:eastAsia="Times New Roman" w:hAnsi="Arial" w:cs="Times New Roman"/>
          <w:b/>
          <w:color w:val="CC0000"/>
          <w:lang w:eastAsia="fr-FR"/>
        </w:rPr>
      </w:pPr>
      <w:r>
        <w:rPr>
          <w:rFonts w:ascii="Arial" w:eastAsia="Times New Roman" w:hAnsi="Arial" w:cs="Times New Roman"/>
          <w:b/>
          <w:color w:val="CC0000"/>
          <w:lang w:eastAsia="fr-FR"/>
        </w:rPr>
        <w:t>Analyse micro</w:t>
      </w:r>
      <w:r w:rsidR="001A0C05" w:rsidRPr="00B41A82">
        <w:rPr>
          <w:rFonts w:ascii="Arial" w:eastAsia="Times New Roman" w:hAnsi="Arial" w:cs="Times New Roman"/>
          <w:b/>
          <w:color w:val="CC0000"/>
          <w:lang w:eastAsia="fr-FR"/>
        </w:rPr>
        <w:t>économique</w:t>
      </w:r>
    </w:p>
    <w:p w:rsidR="001A0C05" w:rsidRPr="00343AF3" w:rsidRDefault="001A0C05" w:rsidP="00347FCF">
      <w:pPr>
        <w:spacing w:before="100" w:beforeAutospacing="1" w:after="100" w:afterAutospacing="1" w:line="240" w:lineRule="auto"/>
        <w:jc w:val="both"/>
        <w:rPr>
          <w:rFonts w:ascii="Calibri" w:eastAsia="Times New Roman" w:hAnsi="Calibri" w:cs="Arial"/>
          <w:sz w:val="24"/>
          <w:szCs w:val="24"/>
          <w:lang w:eastAsia="fr-FR"/>
        </w:rPr>
      </w:pPr>
      <w:r w:rsidRPr="00343AF3">
        <w:rPr>
          <w:rFonts w:ascii="Calibri" w:eastAsia="Times New Roman" w:hAnsi="Calibri" w:cs="Arial"/>
          <w:sz w:val="24"/>
          <w:szCs w:val="24"/>
          <w:lang w:eastAsia="fr-FR"/>
        </w:rPr>
        <w:t xml:space="preserve">Dans l'analyse néo classique, le consommateur est un être parfaitement rationnel qui cherche à maximiser l'utilité de son budget par le point de tangence entre sa courbe d'indifférence (ou courbe d'iso-satisfaction) et sa droite de budget. Traditionnellement la demande, donc la consommation, suit la loi de l'offre et de la demande. La demande augmente lorsque les prix baissent. </w:t>
      </w:r>
    </w:p>
    <w:p w:rsidR="001A0C05" w:rsidRPr="00343AF3" w:rsidRDefault="001A0C05" w:rsidP="001A0C05">
      <w:pPr>
        <w:spacing w:before="100" w:beforeAutospacing="1" w:after="100" w:afterAutospacing="1" w:line="240" w:lineRule="auto"/>
        <w:rPr>
          <w:rFonts w:ascii="Calibri" w:eastAsia="Times New Roman" w:hAnsi="Calibri" w:cs="Arial"/>
          <w:sz w:val="24"/>
          <w:szCs w:val="24"/>
          <w:lang w:eastAsia="fr-FR"/>
        </w:rPr>
      </w:pPr>
      <w:r w:rsidRPr="00343AF3">
        <w:rPr>
          <w:rFonts w:ascii="Calibri" w:eastAsia="Times New Roman" w:hAnsi="Calibri" w:cs="Arial"/>
          <w:sz w:val="24"/>
          <w:szCs w:val="24"/>
          <w:lang w:eastAsia="fr-FR"/>
        </w:rPr>
        <w:t xml:space="preserve">Mais de nombreux facteurs viennent nuancer cette vision plutôt mécanique. </w:t>
      </w:r>
    </w:p>
    <w:p w:rsidR="001A0C05" w:rsidRPr="00343AF3" w:rsidRDefault="001A0C05" w:rsidP="00347FCF">
      <w:pPr>
        <w:spacing w:before="100" w:beforeAutospacing="1" w:after="100" w:afterAutospacing="1" w:line="240" w:lineRule="auto"/>
        <w:jc w:val="both"/>
        <w:rPr>
          <w:rFonts w:ascii="Calibri" w:eastAsia="Times New Roman" w:hAnsi="Calibri" w:cs="Arial"/>
          <w:sz w:val="24"/>
          <w:szCs w:val="24"/>
          <w:lang w:eastAsia="fr-FR"/>
        </w:rPr>
      </w:pPr>
      <w:r w:rsidRPr="00343AF3">
        <w:rPr>
          <w:rFonts w:ascii="Calibri" w:eastAsia="Times New Roman" w:hAnsi="Calibri" w:cs="Arial"/>
          <w:sz w:val="24"/>
          <w:szCs w:val="24"/>
          <w:lang w:eastAsia="fr-FR"/>
        </w:rPr>
        <w:t xml:space="preserve">L'effet </w:t>
      </w:r>
      <w:proofErr w:type="spellStart"/>
      <w:r w:rsidRPr="00343AF3">
        <w:rPr>
          <w:rFonts w:ascii="Calibri" w:eastAsia="Times New Roman" w:hAnsi="Calibri" w:cs="Arial"/>
          <w:sz w:val="24"/>
          <w:szCs w:val="24"/>
          <w:lang w:eastAsia="fr-FR"/>
        </w:rPr>
        <w:t>Giffen</w:t>
      </w:r>
      <w:proofErr w:type="spellEnd"/>
      <w:r w:rsidRPr="00343AF3">
        <w:rPr>
          <w:rFonts w:ascii="Calibri" w:eastAsia="Times New Roman" w:hAnsi="Calibri" w:cs="Arial"/>
          <w:sz w:val="24"/>
          <w:szCs w:val="24"/>
          <w:lang w:eastAsia="fr-FR"/>
        </w:rPr>
        <w:t xml:space="preserve"> montre que la baisse des prix de produits inférieurs (biens alimentaires de première nécessité par exemple) peut entrainer une hausse de la demande de ces biens, les seuls accessibles pour les ménages les plus modestes en cas de hausse des prix des biens supérieurs. </w:t>
      </w:r>
    </w:p>
    <w:p w:rsidR="001A0C05" w:rsidRPr="00343AF3" w:rsidRDefault="001A0C05" w:rsidP="001A0C05">
      <w:pPr>
        <w:spacing w:before="100" w:beforeAutospacing="1" w:after="100" w:afterAutospacing="1" w:line="240" w:lineRule="auto"/>
        <w:rPr>
          <w:rFonts w:ascii="Calibri" w:eastAsia="Times New Roman" w:hAnsi="Calibri" w:cs="Arial"/>
          <w:sz w:val="24"/>
          <w:szCs w:val="24"/>
          <w:lang w:eastAsia="fr-FR"/>
        </w:rPr>
      </w:pPr>
      <w:r w:rsidRPr="00343AF3">
        <w:rPr>
          <w:rFonts w:ascii="Calibri" w:eastAsia="Times New Roman" w:hAnsi="Calibri" w:cs="Arial"/>
          <w:sz w:val="24"/>
          <w:szCs w:val="24"/>
          <w:lang w:eastAsia="fr-FR"/>
        </w:rPr>
        <w:t>L'effet Veblen (ou snob-</w:t>
      </w:r>
      <w:proofErr w:type="spellStart"/>
      <w:r w:rsidRPr="00343AF3">
        <w:rPr>
          <w:rFonts w:ascii="Calibri" w:eastAsia="Times New Roman" w:hAnsi="Calibri" w:cs="Arial"/>
          <w:sz w:val="24"/>
          <w:szCs w:val="24"/>
          <w:lang w:eastAsia="fr-FR"/>
        </w:rPr>
        <w:t>effect</w:t>
      </w:r>
      <w:proofErr w:type="spellEnd"/>
      <w:r w:rsidRPr="00343AF3">
        <w:rPr>
          <w:rFonts w:ascii="Calibri" w:eastAsia="Times New Roman" w:hAnsi="Calibri" w:cs="Arial"/>
          <w:sz w:val="24"/>
          <w:szCs w:val="24"/>
          <w:lang w:eastAsia="fr-FR"/>
        </w:rPr>
        <w:t xml:space="preserve">) montre que les consommateurs cherchent à se distinguer en achetant les produits les plus onéreux (effet de distinction). </w:t>
      </w:r>
    </w:p>
    <w:p w:rsidR="001A0C05" w:rsidRPr="00343AF3" w:rsidRDefault="001A0C05" w:rsidP="00B123FA">
      <w:pPr>
        <w:spacing w:before="100" w:beforeAutospacing="1" w:after="100" w:afterAutospacing="1" w:line="240" w:lineRule="auto"/>
        <w:jc w:val="both"/>
        <w:rPr>
          <w:rFonts w:ascii="Calibri" w:eastAsia="Times New Roman" w:hAnsi="Calibri" w:cs="Arial"/>
          <w:sz w:val="24"/>
          <w:szCs w:val="24"/>
          <w:lang w:eastAsia="fr-FR"/>
        </w:rPr>
      </w:pPr>
      <w:r w:rsidRPr="00343AF3">
        <w:rPr>
          <w:rFonts w:ascii="Calibri" w:eastAsia="Times New Roman" w:hAnsi="Calibri" w:cs="Arial"/>
          <w:sz w:val="24"/>
          <w:szCs w:val="24"/>
          <w:lang w:eastAsia="fr-FR"/>
        </w:rPr>
        <w:t>L'effet mode, sous l'influence notamment de la publicité et des techniques de la mercatique induit les consommateurs vers des comportements bien éloignés de la rationalité néo classique. De même que le prix élevé est perçu comme un signal de qualité, les marques connues exercent un effet d'at</w:t>
      </w:r>
      <w:r w:rsidR="00B41CD0">
        <w:rPr>
          <w:rFonts w:ascii="Calibri" w:eastAsia="Times New Roman" w:hAnsi="Calibri" w:cs="Arial"/>
          <w:sz w:val="24"/>
          <w:szCs w:val="24"/>
          <w:lang w:eastAsia="fr-FR"/>
        </w:rPr>
        <w:t>traction vers le consommateur…</w:t>
      </w:r>
    </w:p>
    <w:p w:rsidR="001A0C05" w:rsidRPr="00343AF3" w:rsidRDefault="001A0C05" w:rsidP="00B123FA">
      <w:pPr>
        <w:spacing w:before="100" w:beforeAutospacing="1" w:after="100" w:afterAutospacing="1" w:line="240" w:lineRule="auto"/>
        <w:jc w:val="both"/>
        <w:rPr>
          <w:rFonts w:ascii="Calibri" w:eastAsia="Times New Roman" w:hAnsi="Calibri" w:cs="Arial"/>
          <w:sz w:val="24"/>
          <w:szCs w:val="24"/>
          <w:lang w:eastAsia="fr-FR"/>
        </w:rPr>
      </w:pPr>
      <w:r w:rsidRPr="00343AF3">
        <w:rPr>
          <w:rFonts w:ascii="Calibri" w:eastAsia="Times New Roman" w:hAnsi="Calibri" w:cs="Arial"/>
          <w:sz w:val="24"/>
          <w:szCs w:val="24"/>
          <w:lang w:eastAsia="fr-FR"/>
        </w:rPr>
        <w:t xml:space="preserve">Le phénomène des élasticités permet aussi d'éclairer des liaisons paradoxales entre évolution des prix et évolution de la demande. L'élasticité mesure les conséquences de l'évolution d'une variable (le revenu, le prix, la demande) sur l'évolution d'une autre variable. </w:t>
      </w:r>
    </w:p>
    <w:p w:rsidR="001A0C05" w:rsidRPr="00343AF3" w:rsidRDefault="001A0C05" w:rsidP="00B123FA">
      <w:pPr>
        <w:spacing w:before="100" w:beforeAutospacing="1" w:after="100" w:afterAutospacing="1" w:line="240" w:lineRule="auto"/>
        <w:jc w:val="both"/>
        <w:rPr>
          <w:rFonts w:ascii="Calibri" w:eastAsia="Times New Roman" w:hAnsi="Calibri" w:cs="Arial"/>
          <w:sz w:val="24"/>
          <w:szCs w:val="24"/>
          <w:lang w:eastAsia="fr-FR"/>
        </w:rPr>
      </w:pPr>
      <w:r w:rsidRPr="00343AF3">
        <w:rPr>
          <w:rFonts w:ascii="Calibri" w:eastAsia="Times New Roman" w:hAnsi="Calibri" w:cs="Arial"/>
          <w:sz w:val="24"/>
          <w:szCs w:val="24"/>
          <w:lang w:eastAsia="fr-FR"/>
        </w:rPr>
        <w:t xml:space="preserve">L'élasticité-prix montre la sensibilité de la demande d'un bien X par rapport à l'évolution de son prix. On constate, que l'augmentation du prix de certains biens (carburant automobile, tabac, alcool) n'entraine pas </w:t>
      </w:r>
      <w:r w:rsidRPr="00343AF3">
        <w:rPr>
          <w:rFonts w:ascii="Calibri" w:eastAsia="Times New Roman" w:hAnsi="Calibri" w:cs="Arial"/>
          <w:sz w:val="24"/>
          <w:szCs w:val="24"/>
          <w:lang w:eastAsia="fr-FR"/>
        </w:rPr>
        <w:lastRenderedPageBreak/>
        <w:t xml:space="preserve">de baisse sensible de la demande (sauf augmentation brutale et soutenue des prix). A l'inverse la baisse des prix de certains bien inférieurs n'entraîne pas d'augmentation de la demande pour ce bien (le pain, par exemple). La demande de ces biens est dite inélastique par rapport aux prix. </w:t>
      </w:r>
    </w:p>
    <w:p w:rsidR="001A0C05" w:rsidRPr="00343AF3" w:rsidRDefault="001A0C05" w:rsidP="00B123FA">
      <w:pPr>
        <w:spacing w:before="100" w:beforeAutospacing="1" w:after="100" w:afterAutospacing="1" w:line="240" w:lineRule="auto"/>
        <w:jc w:val="both"/>
        <w:rPr>
          <w:rFonts w:ascii="Calibri" w:eastAsia="Times New Roman" w:hAnsi="Calibri" w:cs="Arial"/>
          <w:sz w:val="24"/>
          <w:szCs w:val="24"/>
          <w:lang w:eastAsia="fr-FR"/>
        </w:rPr>
      </w:pPr>
      <w:r w:rsidRPr="00343AF3">
        <w:rPr>
          <w:rFonts w:ascii="Calibri" w:eastAsia="Times New Roman" w:hAnsi="Calibri" w:cs="Arial"/>
          <w:sz w:val="24"/>
          <w:szCs w:val="24"/>
          <w:lang w:eastAsia="fr-FR"/>
        </w:rPr>
        <w:t xml:space="preserve">L'élasticité-revenu montre l'évolution de la demande des biens en fonction de l'évolution des revenus. Ainsi, une augmentation durable des revenus entraine un déplacement de la demande, soit une baisse de la demande pour les biens inférieurs et alimentaires et une hausse de la demande pour </w:t>
      </w:r>
      <w:r w:rsidR="00B41CD0">
        <w:rPr>
          <w:rFonts w:ascii="Calibri" w:eastAsia="Times New Roman" w:hAnsi="Calibri" w:cs="Arial"/>
          <w:sz w:val="24"/>
          <w:szCs w:val="24"/>
          <w:lang w:eastAsia="fr-FR"/>
        </w:rPr>
        <w:t>les biens supérieurs de confort</w:t>
      </w:r>
      <w:r w:rsidRPr="00343AF3">
        <w:rPr>
          <w:rFonts w:ascii="Calibri" w:eastAsia="Times New Roman" w:hAnsi="Calibri" w:cs="Arial"/>
          <w:sz w:val="24"/>
          <w:szCs w:val="24"/>
          <w:lang w:eastAsia="fr-FR"/>
        </w:rPr>
        <w:t xml:space="preserve">. On rejoint ici la loi d'Engel qui explique par exemple que lorsque le revenu des ménages augmentent, la part du budget (ou coefficient budgétaire) consacrés aux biens de première nécessité (dont les produits « de base » de l'alimentation), diminue. </w:t>
      </w:r>
    </w:p>
    <w:p w:rsidR="001A0C05" w:rsidRPr="00343AF3" w:rsidRDefault="001A0C05" w:rsidP="00B123FA">
      <w:pPr>
        <w:spacing w:before="100" w:beforeAutospacing="1" w:after="100" w:afterAutospacing="1" w:line="240" w:lineRule="auto"/>
        <w:jc w:val="both"/>
        <w:rPr>
          <w:rFonts w:ascii="Calibri" w:eastAsia="Times New Roman" w:hAnsi="Calibri" w:cs="Arial"/>
          <w:sz w:val="24"/>
          <w:szCs w:val="24"/>
          <w:lang w:eastAsia="fr-FR"/>
        </w:rPr>
      </w:pPr>
      <w:r w:rsidRPr="00343AF3">
        <w:rPr>
          <w:rFonts w:ascii="Calibri" w:eastAsia="Times New Roman" w:hAnsi="Calibri" w:cs="Arial"/>
          <w:sz w:val="24"/>
          <w:szCs w:val="24"/>
          <w:lang w:eastAsia="fr-FR"/>
        </w:rPr>
        <w:t xml:space="preserve">Les élasticités croisées mesurent les effets de la hausse du prix d'un bien X sur la demande d'un autre bien Y, dans la mesure </w:t>
      </w:r>
      <w:proofErr w:type="gramStart"/>
      <w:r w:rsidRPr="00343AF3">
        <w:rPr>
          <w:rFonts w:ascii="Calibri" w:eastAsia="Times New Roman" w:hAnsi="Calibri" w:cs="Arial"/>
          <w:sz w:val="24"/>
          <w:szCs w:val="24"/>
          <w:lang w:eastAsia="fr-FR"/>
        </w:rPr>
        <w:t>ou</w:t>
      </w:r>
      <w:proofErr w:type="gramEnd"/>
      <w:r w:rsidRPr="00343AF3">
        <w:rPr>
          <w:rFonts w:ascii="Calibri" w:eastAsia="Times New Roman" w:hAnsi="Calibri" w:cs="Arial"/>
          <w:sz w:val="24"/>
          <w:szCs w:val="24"/>
          <w:lang w:eastAsia="fr-FR"/>
        </w:rPr>
        <w:t xml:space="preserve"> ces biens sont substituables. L'augmentation du prix du fioul domestique peut entrainer par exemple l'augmentation de la demande du bois de chauffage. </w:t>
      </w:r>
    </w:p>
    <w:p w:rsidR="001A0C05" w:rsidRPr="00B41A82" w:rsidRDefault="001A0C05" w:rsidP="00B123FA">
      <w:pPr>
        <w:spacing w:before="100" w:beforeAutospacing="1" w:after="100" w:afterAutospacing="1" w:line="240" w:lineRule="auto"/>
        <w:jc w:val="both"/>
        <w:rPr>
          <w:rFonts w:ascii="Arial" w:eastAsia="Times New Roman" w:hAnsi="Arial" w:cs="Times New Roman"/>
          <w:b/>
          <w:color w:val="CC0000"/>
          <w:lang w:eastAsia="fr-FR"/>
        </w:rPr>
      </w:pPr>
      <w:r w:rsidRPr="00B41A82">
        <w:rPr>
          <w:rFonts w:ascii="Arial" w:eastAsia="Times New Roman" w:hAnsi="Arial" w:cs="Times New Roman"/>
          <w:b/>
          <w:color w:val="CC0000"/>
          <w:lang w:eastAsia="fr-FR"/>
        </w:rPr>
        <w:t xml:space="preserve">L'évolution de la consommation </w:t>
      </w:r>
    </w:p>
    <w:p w:rsidR="001A0C05" w:rsidRPr="00343AF3" w:rsidRDefault="001A0C05" w:rsidP="00B123FA">
      <w:pPr>
        <w:spacing w:before="100" w:beforeAutospacing="1" w:after="100" w:afterAutospacing="1" w:line="240" w:lineRule="auto"/>
        <w:jc w:val="both"/>
        <w:rPr>
          <w:rFonts w:ascii="Calibri" w:eastAsia="Times New Roman" w:hAnsi="Calibri" w:cs="Arial"/>
          <w:sz w:val="24"/>
          <w:szCs w:val="24"/>
          <w:lang w:eastAsia="fr-FR"/>
        </w:rPr>
      </w:pPr>
      <w:r w:rsidRPr="00343AF3">
        <w:rPr>
          <w:rFonts w:ascii="Calibri" w:eastAsia="Times New Roman" w:hAnsi="Calibri" w:cs="Arial"/>
          <w:sz w:val="24"/>
          <w:szCs w:val="24"/>
          <w:lang w:eastAsia="fr-FR"/>
        </w:rPr>
        <w:t xml:space="preserve">L'observation empirique de l'évolution de la consommation permet de constater trois éléments principaux. </w:t>
      </w:r>
    </w:p>
    <w:p w:rsidR="001A0C05" w:rsidRPr="00343AF3" w:rsidRDefault="001A0C05" w:rsidP="00B123FA">
      <w:pPr>
        <w:spacing w:before="100" w:beforeAutospacing="1" w:after="100" w:afterAutospacing="1" w:line="240" w:lineRule="auto"/>
        <w:jc w:val="both"/>
        <w:rPr>
          <w:rFonts w:ascii="Calibri" w:eastAsia="Times New Roman" w:hAnsi="Calibri" w:cs="Arial"/>
          <w:sz w:val="24"/>
          <w:szCs w:val="24"/>
          <w:lang w:eastAsia="fr-FR"/>
        </w:rPr>
      </w:pPr>
      <w:r w:rsidRPr="00343AF3">
        <w:rPr>
          <w:rFonts w:ascii="Calibri" w:eastAsia="Times New Roman" w:hAnsi="Calibri" w:cs="Arial"/>
          <w:sz w:val="24"/>
          <w:szCs w:val="24"/>
          <w:lang w:eastAsia="fr-FR"/>
        </w:rPr>
        <w:t xml:space="preserve">La confirmation de la loi </w:t>
      </w:r>
      <w:r w:rsidR="00CE439C" w:rsidRPr="00343AF3">
        <w:rPr>
          <w:rFonts w:ascii="Calibri" w:eastAsia="Times New Roman" w:hAnsi="Calibri" w:cs="Arial"/>
          <w:sz w:val="24"/>
          <w:szCs w:val="24"/>
          <w:lang w:eastAsia="fr-FR"/>
        </w:rPr>
        <w:t>d’Engel,</w:t>
      </w:r>
      <w:r w:rsidRPr="00343AF3">
        <w:rPr>
          <w:rFonts w:ascii="Calibri" w:eastAsia="Times New Roman" w:hAnsi="Calibri" w:cs="Arial"/>
          <w:sz w:val="24"/>
          <w:szCs w:val="24"/>
          <w:lang w:eastAsia="fr-FR"/>
        </w:rPr>
        <w:t xml:space="preserve"> par la modification de la structure de la consommation, en général et de la consommation alimentaire en particulier (moins de pain, plus de broche). (</w:t>
      </w:r>
      <w:proofErr w:type="gramStart"/>
      <w:r w:rsidRPr="00343AF3">
        <w:rPr>
          <w:rFonts w:ascii="Calibri" w:eastAsia="Times New Roman" w:hAnsi="Calibri" w:cs="Arial"/>
          <w:sz w:val="24"/>
          <w:szCs w:val="24"/>
          <w:lang w:eastAsia="fr-FR"/>
        </w:rPr>
        <w:t>figures</w:t>
      </w:r>
      <w:proofErr w:type="gramEnd"/>
      <w:r w:rsidRPr="00343AF3">
        <w:rPr>
          <w:rFonts w:ascii="Calibri" w:eastAsia="Times New Roman" w:hAnsi="Calibri" w:cs="Arial"/>
          <w:sz w:val="24"/>
          <w:szCs w:val="24"/>
          <w:lang w:eastAsia="fr-FR"/>
        </w:rPr>
        <w:t xml:space="preserve"> 5 à 8) comme le montre l'évoluti</w:t>
      </w:r>
      <w:r w:rsidR="00C42846">
        <w:rPr>
          <w:rFonts w:ascii="Calibri" w:eastAsia="Times New Roman" w:hAnsi="Calibri" w:cs="Arial"/>
          <w:sz w:val="24"/>
          <w:szCs w:val="24"/>
          <w:lang w:eastAsia="fr-FR"/>
        </w:rPr>
        <w:t>on des coefficients budgétaires.</w:t>
      </w:r>
    </w:p>
    <w:p w:rsidR="001A0C05" w:rsidRPr="006338F8" w:rsidRDefault="001A0C05" w:rsidP="001B1D41">
      <w:pPr>
        <w:spacing w:before="100" w:beforeAutospacing="1" w:after="100" w:afterAutospacing="1" w:line="240" w:lineRule="auto"/>
        <w:rPr>
          <w:rFonts w:ascii="Calibri" w:eastAsia="Times New Roman" w:hAnsi="Calibri" w:cs="Arial"/>
          <w:sz w:val="24"/>
          <w:szCs w:val="24"/>
          <w:u w:val="single"/>
          <w:lang w:eastAsia="fr-FR"/>
        </w:rPr>
      </w:pPr>
      <w:r w:rsidRPr="00C42846">
        <w:rPr>
          <w:rFonts w:ascii="Calibri" w:eastAsia="Times New Roman" w:hAnsi="Calibri" w:cs="Arial"/>
          <w:color w:val="C00000"/>
          <w:sz w:val="24"/>
          <w:szCs w:val="24"/>
          <w:lang w:eastAsia="fr-FR"/>
        </w:rPr>
        <w:t>Figure 5 : Évolution des coefficients budgétaires (1960-2005)</w:t>
      </w:r>
      <w:r w:rsidRPr="00343AF3">
        <w:rPr>
          <w:rFonts w:ascii="Calibri" w:eastAsia="Times New Roman" w:hAnsi="Calibri" w:cs="Arial"/>
          <w:sz w:val="24"/>
          <w:szCs w:val="24"/>
          <w:lang w:eastAsia="fr-FR"/>
        </w:rPr>
        <w:t xml:space="preserve"> Source : </w:t>
      </w:r>
      <w:hyperlink r:id="rId21" w:history="1">
        <w:r w:rsidRPr="006338F8">
          <w:rPr>
            <w:rFonts w:ascii="Calibri" w:eastAsia="Times New Roman" w:hAnsi="Calibri" w:cs="Arial"/>
            <w:sz w:val="24"/>
            <w:szCs w:val="24"/>
            <w:u w:val="single"/>
            <w:lang w:eastAsia="fr-FR"/>
          </w:rPr>
          <w:t xml:space="preserve">http://www.insee.fr/fr/ffc/docs_ffc/ref/CONSO09c.PDF </w:t>
        </w:r>
      </w:hyperlink>
    </w:p>
    <w:p w:rsidR="001A0C05" w:rsidRPr="00343AF3" w:rsidRDefault="001A0C05" w:rsidP="001A0C05">
      <w:pPr>
        <w:spacing w:before="100" w:beforeAutospacing="1" w:after="100" w:afterAutospacing="1" w:line="240" w:lineRule="auto"/>
        <w:rPr>
          <w:rFonts w:ascii="Calibri" w:eastAsia="Times New Roman" w:hAnsi="Calibri" w:cs="Arial"/>
          <w:sz w:val="24"/>
          <w:szCs w:val="24"/>
          <w:lang w:eastAsia="fr-FR"/>
        </w:rPr>
      </w:pPr>
      <w:r w:rsidRPr="00343AF3">
        <w:rPr>
          <w:rFonts w:ascii="Calibri" w:eastAsia="Times New Roman" w:hAnsi="Calibri" w:cs="Arial"/>
          <w:noProof/>
          <w:sz w:val="24"/>
          <w:szCs w:val="24"/>
          <w:lang w:eastAsia="fr-FR"/>
        </w:rPr>
        <w:drawing>
          <wp:inline distT="0" distB="0" distL="0" distR="0" wp14:anchorId="266562F2" wp14:editId="1A9194EA">
            <wp:extent cx="4467225" cy="3512236"/>
            <wp:effectExtent l="0" t="0" r="0" b="0"/>
            <wp:docPr id="5" name="Image 5" descr="C:\Users\Simon\Documents\CERPEG\ressdiscipl\economie\ecogene\Conso_ep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imon\Documents\CERPEG\ressdiscipl\economie\ecogene\Conso_ep_5.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67225" cy="3512236"/>
                    </a:xfrm>
                    <a:prstGeom prst="rect">
                      <a:avLst/>
                    </a:prstGeom>
                    <a:noFill/>
                    <a:ln>
                      <a:noFill/>
                    </a:ln>
                  </pic:spPr>
                </pic:pic>
              </a:graphicData>
            </a:graphic>
          </wp:inline>
        </w:drawing>
      </w:r>
    </w:p>
    <w:p w:rsidR="005A37E8" w:rsidRDefault="005A37E8" w:rsidP="001A0C05">
      <w:pPr>
        <w:spacing w:before="100" w:beforeAutospacing="1" w:after="100" w:afterAutospacing="1" w:line="240" w:lineRule="auto"/>
        <w:rPr>
          <w:rFonts w:ascii="Calibri" w:eastAsia="Times New Roman" w:hAnsi="Calibri" w:cs="Arial"/>
          <w:color w:val="C00000"/>
          <w:sz w:val="24"/>
          <w:szCs w:val="24"/>
          <w:lang w:eastAsia="fr-FR"/>
        </w:rPr>
      </w:pPr>
    </w:p>
    <w:p w:rsidR="005A37E8" w:rsidRDefault="005A37E8" w:rsidP="001A0C05">
      <w:pPr>
        <w:spacing w:before="100" w:beforeAutospacing="1" w:after="100" w:afterAutospacing="1" w:line="240" w:lineRule="auto"/>
        <w:rPr>
          <w:rFonts w:ascii="Calibri" w:eastAsia="Times New Roman" w:hAnsi="Calibri" w:cs="Arial"/>
          <w:color w:val="C00000"/>
          <w:sz w:val="24"/>
          <w:szCs w:val="24"/>
          <w:lang w:eastAsia="fr-FR"/>
        </w:rPr>
      </w:pPr>
    </w:p>
    <w:p w:rsidR="005A37E8" w:rsidRDefault="005A37E8" w:rsidP="001A0C05">
      <w:pPr>
        <w:spacing w:before="100" w:beforeAutospacing="1" w:after="100" w:afterAutospacing="1" w:line="240" w:lineRule="auto"/>
        <w:rPr>
          <w:rFonts w:ascii="Calibri" w:eastAsia="Times New Roman" w:hAnsi="Calibri" w:cs="Arial"/>
          <w:color w:val="C00000"/>
          <w:sz w:val="24"/>
          <w:szCs w:val="24"/>
          <w:lang w:eastAsia="fr-FR"/>
        </w:rPr>
      </w:pPr>
    </w:p>
    <w:p w:rsidR="005A37E8" w:rsidRDefault="005A37E8" w:rsidP="001A0C05">
      <w:pPr>
        <w:spacing w:before="100" w:beforeAutospacing="1" w:after="100" w:afterAutospacing="1" w:line="240" w:lineRule="auto"/>
        <w:rPr>
          <w:rFonts w:ascii="Calibri" w:eastAsia="Times New Roman" w:hAnsi="Calibri" w:cs="Arial"/>
          <w:color w:val="C00000"/>
          <w:sz w:val="24"/>
          <w:szCs w:val="24"/>
          <w:lang w:eastAsia="fr-FR"/>
        </w:rPr>
      </w:pPr>
    </w:p>
    <w:p w:rsidR="001A0C05" w:rsidRPr="00C42846" w:rsidRDefault="001A0C05" w:rsidP="001A0C05">
      <w:pPr>
        <w:spacing w:before="100" w:beforeAutospacing="1" w:after="100" w:afterAutospacing="1" w:line="240" w:lineRule="auto"/>
        <w:rPr>
          <w:rFonts w:ascii="Calibri" w:eastAsia="Times New Roman" w:hAnsi="Calibri" w:cs="Arial"/>
          <w:color w:val="C00000"/>
          <w:sz w:val="24"/>
          <w:szCs w:val="24"/>
          <w:lang w:eastAsia="fr-FR"/>
        </w:rPr>
      </w:pPr>
      <w:r w:rsidRPr="00C42846">
        <w:rPr>
          <w:rFonts w:ascii="Calibri" w:eastAsia="Times New Roman" w:hAnsi="Calibri" w:cs="Arial"/>
          <w:color w:val="C00000"/>
          <w:sz w:val="24"/>
          <w:szCs w:val="24"/>
          <w:lang w:eastAsia="fr-FR"/>
        </w:rPr>
        <w:t xml:space="preserve">Figure 6 : Évolution des coefficients budgétaires 1960-2009 (en % d'utilisation du revenu) </w:t>
      </w:r>
    </w:p>
    <w:p w:rsidR="001A0C05" w:rsidRPr="00343AF3" w:rsidRDefault="001A0C05" w:rsidP="001A0C05">
      <w:pPr>
        <w:spacing w:before="100" w:beforeAutospacing="1" w:after="100" w:afterAutospacing="1" w:line="240" w:lineRule="auto"/>
        <w:rPr>
          <w:rFonts w:ascii="Calibri" w:eastAsia="Times New Roman" w:hAnsi="Calibri" w:cs="Arial"/>
          <w:sz w:val="24"/>
          <w:szCs w:val="24"/>
          <w:lang w:eastAsia="fr-FR"/>
        </w:rPr>
      </w:pPr>
      <w:r w:rsidRPr="00343AF3">
        <w:rPr>
          <w:rFonts w:ascii="Calibri" w:eastAsia="Times New Roman" w:hAnsi="Calibri" w:cs="Arial"/>
          <w:noProof/>
          <w:sz w:val="24"/>
          <w:szCs w:val="24"/>
          <w:lang w:eastAsia="fr-FR"/>
        </w:rPr>
        <w:drawing>
          <wp:inline distT="0" distB="0" distL="0" distR="0" wp14:anchorId="5E0A94EC" wp14:editId="56FFF940">
            <wp:extent cx="6482470" cy="2257425"/>
            <wp:effectExtent l="0" t="0" r="0" b="0"/>
            <wp:docPr id="4" name="Image 4" descr="C:\Users\Simon\Documents\CERPEG\ressdiscipl\economie\ecogene\Conso_ep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imon\Documents\CERPEG\ressdiscipl\economie\ecogene\Conso_ep_9.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482470" cy="2257425"/>
                    </a:xfrm>
                    <a:prstGeom prst="rect">
                      <a:avLst/>
                    </a:prstGeom>
                    <a:noFill/>
                    <a:ln>
                      <a:noFill/>
                    </a:ln>
                  </pic:spPr>
                </pic:pic>
              </a:graphicData>
            </a:graphic>
          </wp:inline>
        </w:drawing>
      </w:r>
    </w:p>
    <w:p w:rsidR="00347FCF" w:rsidRPr="00347FCF" w:rsidRDefault="001A0C05" w:rsidP="00347FCF">
      <w:pPr>
        <w:spacing w:before="100" w:beforeAutospacing="1" w:after="100" w:afterAutospacing="1" w:line="240" w:lineRule="auto"/>
        <w:rPr>
          <w:rFonts w:ascii="Calibri" w:eastAsia="Times New Roman" w:hAnsi="Calibri" w:cs="Arial"/>
          <w:sz w:val="24"/>
          <w:szCs w:val="24"/>
          <w:u w:val="single"/>
          <w:lang w:eastAsia="fr-FR"/>
        </w:rPr>
      </w:pPr>
      <w:r w:rsidRPr="00B41A82">
        <w:rPr>
          <w:rFonts w:ascii="Calibri" w:eastAsia="Times New Roman" w:hAnsi="Calibri" w:cs="Arial"/>
          <w:sz w:val="24"/>
          <w:szCs w:val="24"/>
          <w:u w:val="single"/>
          <w:lang w:eastAsia="fr-FR"/>
        </w:rPr>
        <w:t xml:space="preserve">Source : </w:t>
      </w:r>
      <w:hyperlink r:id="rId24" w:tgtFrame="_blank" w:history="1">
        <w:r w:rsidRPr="00B41A82">
          <w:rPr>
            <w:rFonts w:ascii="Calibri" w:eastAsia="Times New Roman" w:hAnsi="Calibri" w:cs="Arial"/>
            <w:sz w:val="24"/>
            <w:szCs w:val="24"/>
            <w:u w:val="single"/>
            <w:lang w:eastAsia="fr-FR"/>
          </w:rPr>
          <w:t>http://www.statapprendre.education.fr/insee/cons/quoi/coef.htm</w:t>
        </w:r>
      </w:hyperlink>
    </w:p>
    <w:p w:rsidR="001A0C05" w:rsidRPr="00343AF3" w:rsidRDefault="001A0C05" w:rsidP="00347FCF">
      <w:pPr>
        <w:spacing w:before="100" w:beforeAutospacing="1" w:after="100" w:afterAutospacing="1" w:line="240" w:lineRule="auto"/>
        <w:jc w:val="both"/>
        <w:rPr>
          <w:rFonts w:ascii="Calibri" w:eastAsia="Times New Roman" w:hAnsi="Calibri" w:cs="Arial"/>
          <w:sz w:val="24"/>
          <w:szCs w:val="24"/>
          <w:lang w:eastAsia="fr-FR"/>
        </w:rPr>
      </w:pPr>
      <w:r w:rsidRPr="00343AF3">
        <w:rPr>
          <w:rFonts w:ascii="Calibri" w:eastAsia="Times New Roman" w:hAnsi="Calibri" w:cs="Arial"/>
          <w:sz w:val="24"/>
          <w:szCs w:val="24"/>
          <w:lang w:eastAsia="fr-FR"/>
        </w:rPr>
        <w:t xml:space="preserve">La croissance régulière de l'équipement des ménages en biens durables. La croissance du taux d'équipement des ménages est caractérisés simultanément par la faible croissance les produits anciens (croissance par renouvellement ou changement technologiques dans l'électroménager et l'automobile) et la forte croissance des produits récents (téléphonie mobile, micro-ordinateurs) (figure 7). </w:t>
      </w:r>
    </w:p>
    <w:p w:rsidR="001A0C05" w:rsidRPr="005A37E8" w:rsidRDefault="001A0C05" w:rsidP="001A0C05">
      <w:pPr>
        <w:spacing w:before="100" w:beforeAutospacing="1" w:after="100" w:afterAutospacing="1" w:line="240" w:lineRule="auto"/>
        <w:rPr>
          <w:rFonts w:ascii="Calibri" w:eastAsia="Times New Roman" w:hAnsi="Calibri" w:cs="Arial"/>
          <w:color w:val="C00000"/>
          <w:sz w:val="24"/>
          <w:szCs w:val="24"/>
          <w:lang w:eastAsia="fr-FR"/>
        </w:rPr>
      </w:pPr>
      <w:r w:rsidRPr="005A37E8">
        <w:rPr>
          <w:rFonts w:ascii="Calibri" w:eastAsia="Times New Roman" w:hAnsi="Calibri" w:cs="Arial"/>
          <w:color w:val="C00000"/>
          <w:sz w:val="24"/>
          <w:szCs w:val="24"/>
          <w:lang w:eastAsia="fr-FR"/>
        </w:rPr>
        <w:t>Figure 7 : Taux d'équipement des ménages en bien du</w:t>
      </w:r>
      <w:r w:rsidR="005A37E8">
        <w:rPr>
          <w:rFonts w:ascii="Calibri" w:eastAsia="Times New Roman" w:hAnsi="Calibri" w:cs="Arial"/>
          <w:color w:val="C00000"/>
          <w:sz w:val="24"/>
          <w:szCs w:val="24"/>
          <w:lang w:eastAsia="fr-FR"/>
        </w:rPr>
        <w:t>rables (Source INSEE TEF 2010)</w:t>
      </w:r>
    </w:p>
    <w:p w:rsidR="002E0F4E" w:rsidRPr="00343AF3" w:rsidRDefault="00B678F7" w:rsidP="002E0F4E">
      <w:pPr>
        <w:spacing w:before="100" w:beforeAutospacing="1" w:after="100" w:afterAutospacing="1" w:line="240" w:lineRule="auto"/>
        <w:jc w:val="both"/>
        <w:rPr>
          <w:rFonts w:ascii="Calibri" w:eastAsia="Times New Roman" w:hAnsi="Calibri" w:cs="Arial"/>
          <w:sz w:val="24"/>
          <w:szCs w:val="24"/>
          <w:lang w:eastAsia="fr-FR"/>
        </w:rPr>
      </w:pPr>
      <w:r w:rsidRPr="00343AF3">
        <w:rPr>
          <w:rFonts w:ascii="Calibri" w:eastAsia="Times New Roman" w:hAnsi="Calibri" w:cs="Arial"/>
          <w:noProof/>
          <w:sz w:val="24"/>
          <w:szCs w:val="24"/>
          <w:lang w:eastAsia="fr-FR"/>
        </w:rPr>
        <w:drawing>
          <wp:anchor distT="0" distB="0" distL="114300" distR="114300" simplePos="0" relativeHeight="251661312" behindDoc="1" locked="0" layoutInCell="1" allowOverlap="1" wp14:anchorId="3509EC16" wp14:editId="58B2C7AE">
            <wp:simplePos x="0" y="0"/>
            <wp:positionH relativeFrom="column">
              <wp:posOffset>-142875</wp:posOffset>
            </wp:positionH>
            <wp:positionV relativeFrom="paragraph">
              <wp:posOffset>38100</wp:posOffset>
            </wp:positionV>
            <wp:extent cx="3034665" cy="4168775"/>
            <wp:effectExtent l="0" t="0" r="0" b="3175"/>
            <wp:wrapTight wrapText="bothSides">
              <wp:wrapPolygon edited="0">
                <wp:start x="0" y="0"/>
                <wp:lineTo x="0" y="21518"/>
                <wp:lineTo x="21424" y="21518"/>
                <wp:lineTo x="21424" y="0"/>
                <wp:lineTo x="0" y="0"/>
              </wp:wrapPolygon>
            </wp:wrapTight>
            <wp:docPr id="20" name="Image 20" descr="C:\Users\mberrah\Desktop\Cerpeg\équip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berrah\Desktop\Cerpeg\équipement.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34665" cy="4168775"/>
                    </a:xfrm>
                    <a:prstGeom prst="rect">
                      <a:avLst/>
                    </a:prstGeom>
                    <a:noFill/>
                    <a:ln>
                      <a:noFill/>
                    </a:ln>
                  </pic:spPr>
                </pic:pic>
              </a:graphicData>
            </a:graphic>
          </wp:anchor>
        </w:drawing>
      </w:r>
      <w:r w:rsidR="002E0F4E" w:rsidRPr="00343AF3">
        <w:rPr>
          <w:rFonts w:ascii="Calibri" w:eastAsia="Times New Roman" w:hAnsi="Calibri" w:cs="Arial"/>
          <w:sz w:val="24"/>
          <w:szCs w:val="24"/>
          <w:lang w:eastAsia="fr-FR"/>
        </w:rPr>
        <w:t xml:space="preserve">En 2010, les </w:t>
      </w:r>
      <w:hyperlink r:id="rId26" w:history="1">
        <w:r w:rsidR="002E0F4E" w:rsidRPr="00343AF3">
          <w:rPr>
            <w:rFonts w:ascii="Calibri" w:eastAsia="Times New Roman" w:hAnsi="Calibri" w:cs="Arial"/>
            <w:sz w:val="24"/>
            <w:szCs w:val="24"/>
            <w:lang w:eastAsia="fr-FR"/>
          </w:rPr>
          <w:t>ménages</w:t>
        </w:r>
      </w:hyperlink>
      <w:r w:rsidR="002E0F4E" w:rsidRPr="00343AF3">
        <w:rPr>
          <w:rFonts w:ascii="Calibri" w:eastAsia="Times New Roman" w:hAnsi="Calibri" w:cs="Arial"/>
          <w:sz w:val="24"/>
          <w:szCs w:val="24"/>
          <w:lang w:eastAsia="fr-FR"/>
        </w:rPr>
        <w:t xml:space="preserve"> français consacrent 8,8 % de leur dépense de consommation à l'achat de </w:t>
      </w:r>
      <w:hyperlink r:id="rId27" w:history="1">
        <w:r w:rsidR="002E0F4E" w:rsidRPr="00343AF3">
          <w:rPr>
            <w:rFonts w:ascii="Calibri" w:eastAsia="Times New Roman" w:hAnsi="Calibri" w:cs="Arial"/>
            <w:sz w:val="24"/>
            <w:szCs w:val="24"/>
            <w:lang w:eastAsia="fr-FR"/>
          </w:rPr>
          <w:t>biens</w:t>
        </w:r>
      </w:hyperlink>
      <w:r w:rsidR="002E0F4E" w:rsidRPr="00343AF3">
        <w:rPr>
          <w:rFonts w:ascii="Calibri" w:eastAsia="Times New Roman" w:hAnsi="Calibri" w:cs="Arial"/>
          <w:sz w:val="24"/>
          <w:szCs w:val="24"/>
          <w:lang w:eastAsia="fr-FR"/>
        </w:rPr>
        <w:t xml:space="preserve"> durables. Les achats de téléviseurs décélèrent nettement (+ 18 % après 33 %), mais ils restent le vecteur le plus important de la hausse de la consommation dans ce </w:t>
      </w:r>
      <w:hyperlink r:id="rId28" w:history="1">
        <w:r w:rsidR="002E0F4E" w:rsidRPr="00343AF3">
          <w:rPr>
            <w:rFonts w:ascii="Calibri" w:eastAsia="Times New Roman" w:hAnsi="Calibri" w:cs="Arial"/>
            <w:sz w:val="24"/>
            <w:szCs w:val="24"/>
            <w:lang w:eastAsia="fr-FR"/>
          </w:rPr>
          <w:t>secteur</w:t>
        </w:r>
      </w:hyperlink>
      <w:r w:rsidR="002E0F4E" w:rsidRPr="00343AF3">
        <w:rPr>
          <w:rFonts w:ascii="Calibri" w:eastAsia="Times New Roman" w:hAnsi="Calibri" w:cs="Arial"/>
          <w:sz w:val="24"/>
          <w:szCs w:val="24"/>
          <w:lang w:eastAsia="fr-FR"/>
        </w:rPr>
        <w:t>. Le passage à la télévision numérique terrestre entraîne un décollage des achats de récepteurs satellites (+ 84 % en volume).</w:t>
      </w:r>
    </w:p>
    <w:p w:rsidR="002E0F4E" w:rsidRPr="00343AF3" w:rsidRDefault="002E0F4E" w:rsidP="002E0F4E">
      <w:pPr>
        <w:spacing w:before="120" w:after="120"/>
        <w:jc w:val="both"/>
        <w:rPr>
          <w:rFonts w:ascii="Calibri" w:eastAsia="Times New Roman" w:hAnsi="Calibri" w:cs="Arial"/>
          <w:sz w:val="24"/>
          <w:szCs w:val="24"/>
          <w:lang w:eastAsia="fr-FR"/>
        </w:rPr>
      </w:pPr>
      <w:r w:rsidRPr="00343AF3">
        <w:rPr>
          <w:rFonts w:ascii="Calibri" w:eastAsia="Times New Roman" w:hAnsi="Calibri" w:cs="Arial"/>
          <w:sz w:val="24"/>
          <w:szCs w:val="24"/>
          <w:lang w:eastAsia="fr-FR"/>
        </w:rPr>
        <w:t xml:space="preserve">La quasi-totalité des ménages français est équipée d'un réfrigérateur, d'un téléviseur et d'un lave-linge et près de neuf ménages sur dix d'un téléphone fixe. </w:t>
      </w:r>
    </w:p>
    <w:p w:rsidR="002E0F4E" w:rsidRPr="00343AF3" w:rsidRDefault="002E0F4E" w:rsidP="002E0F4E">
      <w:pPr>
        <w:spacing w:before="120" w:after="120"/>
        <w:jc w:val="both"/>
        <w:rPr>
          <w:rFonts w:ascii="Calibri" w:eastAsia="Times New Roman" w:hAnsi="Calibri" w:cs="Arial"/>
          <w:sz w:val="24"/>
          <w:szCs w:val="24"/>
          <w:lang w:eastAsia="fr-FR"/>
        </w:rPr>
      </w:pPr>
      <w:r w:rsidRPr="00343AF3">
        <w:rPr>
          <w:rFonts w:ascii="Calibri" w:eastAsia="Times New Roman" w:hAnsi="Calibri" w:cs="Arial"/>
          <w:sz w:val="24"/>
          <w:szCs w:val="24"/>
          <w:lang w:eastAsia="fr-FR"/>
        </w:rPr>
        <w:t xml:space="preserve">L'engouement pour les produits liés aux technologies de l'information et de la communication n'a pas faibli. Aujourd'hui huit ménages sur dix possèdent un téléphone portable et deux sur trois un ordinateur. En dix ans, la proportion de ménages disposant d'un accès </w:t>
      </w:r>
      <w:hyperlink r:id="rId29" w:history="1">
        <w:r w:rsidRPr="00343AF3">
          <w:rPr>
            <w:rFonts w:ascii="Calibri" w:eastAsia="Times New Roman" w:hAnsi="Calibri" w:cs="Arial"/>
            <w:sz w:val="24"/>
            <w:szCs w:val="24"/>
            <w:lang w:eastAsia="fr-FR"/>
          </w:rPr>
          <w:t>internet</w:t>
        </w:r>
      </w:hyperlink>
      <w:r w:rsidRPr="00343AF3">
        <w:rPr>
          <w:rFonts w:ascii="Calibri" w:eastAsia="Times New Roman" w:hAnsi="Calibri" w:cs="Arial"/>
          <w:sz w:val="24"/>
          <w:szCs w:val="24"/>
          <w:lang w:eastAsia="fr-FR"/>
        </w:rPr>
        <w:t xml:space="preserve"> à la maison a quintuplé pour atteindre 64 %. La fracture numérique tend donc à se réduire. Plus d'un ménage sur deux dispose d'un accès au haut débit (« large bande »). L'ordinateur est encore le support le plus utilisé, mais de nouveaux moyens d'accès à internet se développent. </w:t>
      </w:r>
      <w:r w:rsidRPr="00343AF3">
        <w:rPr>
          <w:rFonts w:ascii="Calibri" w:eastAsia="Times New Roman" w:hAnsi="Calibri" w:cs="Arial"/>
          <w:sz w:val="24"/>
          <w:szCs w:val="24"/>
          <w:lang w:eastAsia="fr-FR"/>
        </w:rPr>
        <w:lastRenderedPageBreak/>
        <w:t xml:space="preserve">L'internet mobile, par exemple, fait une percée notable : un </w:t>
      </w:r>
      <w:hyperlink r:id="rId30" w:history="1">
        <w:r w:rsidRPr="00343AF3">
          <w:rPr>
            <w:rFonts w:ascii="Calibri" w:eastAsia="Times New Roman" w:hAnsi="Calibri" w:cs="Arial"/>
            <w:sz w:val="24"/>
            <w:szCs w:val="24"/>
            <w:lang w:eastAsia="fr-FR"/>
          </w:rPr>
          <w:t>internaute</w:t>
        </w:r>
      </w:hyperlink>
      <w:r w:rsidRPr="00343AF3">
        <w:rPr>
          <w:rFonts w:ascii="Calibri" w:eastAsia="Times New Roman" w:hAnsi="Calibri" w:cs="Arial"/>
          <w:sz w:val="24"/>
          <w:szCs w:val="24"/>
          <w:lang w:eastAsia="fr-FR"/>
        </w:rPr>
        <w:t xml:space="preserve"> sur quatre a déjà surfé en 2010 sur internet via son téléphone portable contre seulement un sur onze en 2008. </w:t>
      </w:r>
    </w:p>
    <w:p w:rsidR="002E0F4E" w:rsidRPr="00343AF3" w:rsidRDefault="002E0F4E" w:rsidP="002E0F4E">
      <w:pPr>
        <w:spacing w:before="120" w:after="120"/>
        <w:jc w:val="both"/>
        <w:rPr>
          <w:rFonts w:ascii="Calibri" w:eastAsia="Times New Roman" w:hAnsi="Calibri" w:cs="Arial"/>
          <w:sz w:val="24"/>
          <w:szCs w:val="24"/>
          <w:lang w:eastAsia="fr-FR"/>
        </w:rPr>
      </w:pPr>
      <w:r w:rsidRPr="00343AF3">
        <w:rPr>
          <w:rFonts w:ascii="Calibri" w:eastAsia="Times New Roman" w:hAnsi="Calibri" w:cs="Arial"/>
          <w:sz w:val="24"/>
          <w:szCs w:val="24"/>
          <w:lang w:eastAsia="fr-FR"/>
        </w:rPr>
        <w:t xml:space="preserve">Avec la réduction de la prime à la casse, les achats d'automobiles neuves se replient de – 4,9 %. La part des petites voitures économes, grâce au bonus écologique, se stabilise : les voitures de 5 chevaux fiscaux ou moins représentent 57 % des ventes en 2010, comme en 2009, contre 50 % en 2008. Depuis 2002, les </w:t>
      </w:r>
      <w:hyperlink r:id="rId31" w:history="1">
        <w:r w:rsidRPr="00343AF3">
          <w:rPr>
            <w:rFonts w:ascii="Calibri" w:eastAsia="Times New Roman" w:hAnsi="Calibri" w:cs="Arial"/>
            <w:sz w:val="24"/>
            <w:szCs w:val="24"/>
            <w:lang w:eastAsia="fr-FR"/>
          </w:rPr>
          <w:t>immatriculations de voitures particulières neuves</w:t>
        </w:r>
      </w:hyperlink>
      <w:r w:rsidRPr="00343AF3">
        <w:rPr>
          <w:rFonts w:ascii="Calibri" w:eastAsia="Times New Roman" w:hAnsi="Calibri" w:cs="Arial"/>
          <w:sz w:val="24"/>
          <w:szCs w:val="24"/>
          <w:lang w:eastAsia="fr-FR"/>
        </w:rPr>
        <w:t xml:space="preserve"> équipées d'un moteur diesel ont été supérieures à celle des autres motorisations. Chaque année, il s'échange entre deux et trois voitures d‘occasion pour une voiture neuve : les immatriculations de voitures particulières d'occasion ont retrouvé leur niveau de 2008 (5,4 millions, après 5,2 millions en 2009). Le vieillissement du parc et le développement de la multi-motorisation des ménages ont eu pour conséquence une hausse de la part des voitures de plus de cinq ans dans les transactions d'occasion. </w:t>
      </w:r>
    </w:p>
    <w:p w:rsidR="001A0C05" w:rsidRPr="00343AF3" w:rsidRDefault="001A0C05" w:rsidP="002E0F4E">
      <w:pPr>
        <w:spacing w:before="100" w:beforeAutospacing="1" w:after="100" w:afterAutospacing="1" w:line="240" w:lineRule="auto"/>
        <w:jc w:val="both"/>
        <w:rPr>
          <w:rFonts w:ascii="Calibri" w:eastAsia="Times New Roman" w:hAnsi="Calibri" w:cs="Arial"/>
          <w:sz w:val="24"/>
          <w:szCs w:val="24"/>
          <w:lang w:eastAsia="fr-FR"/>
        </w:rPr>
      </w:pPr>
      <w:r w:rsidRPr="00343AF3">
        <w:rPr>
          <w:rFonts w:ascii="Calibri" w:eastAsia="Times New Roman" w:hAnsi="Calibri" w:cs="Arial"/>
          <w:sz w:val="24"/>
          <w:szCs w:val="24"/>
          <w:lang w:eastAsia="fr-FR"/>
        </w:rPr>
        <w:t xml:space="preserve">L'inégalité de la consommation en fonction du revenu, de l'âge et de la PCS d'appartenance (dépense de santé des agriculteurs exploitants, des ouvriers, et cas limite, des chômeurs de longue durée et SDF notamment). De même, l'impact de ces variables est visible sur le taux de départ en vacances (directement lié à la PCS d'origine), ou sur le taux d'équipement de certains biens d'équipements (les lave-vaisselle et les micro-ordinateurs sont l'apanage des plus jeunes). </w:t>
      </w:r>
    </w:p>
    <w:p w:rsidR="002E0F4E" w:rsidRPr="005A37E8" w:rsidRDefault="002E0F4E" w:rsidP="002E0F4E">
      <w:pPr>
        <w:spacing w:before="100" w:beforeAutospacing="1" w:after="100" w:afterAutospacing="1" w:line="240" w:lineRule="auto"/>
        <w:rPr>
          <w:rFonts w:ascii="Calibri" w:eastAsia="Times New Roman" w:hAnsi="Calibri" w:cs="Arial"/>
          <w:color w:val="C00000"/>
          <w:sz w:val="24"/>
          <w:szCs w:val="24"/>
          <w:lang w:eastAsia="fr-FR"/>
        </w:rPr>
      </w:pPr>
      <w:r w:rsidRPr="005A37E8">
        <w:rPr>
          <w:rFonts w:ascii="Calibri" w:eastAsia="Times New Roman" w:hAnsi="Calibri" w:cs="Arial"/>
          <w:color w:val="C00000"/>
          <w:sz w:val="24"/>
          <w:szCs w:val="24"/>
          <w:lang w:eastAsia="fr-FR"/>
        </w:rPr>
        <w:t xml:space="preserve">Figure 8 : Taux d'équipement en multimédia selon la CSP (en %). Source : Insee, TEF 2010 </w:t>
      </w:r>
    </w:p>
    <w:tbl>
      <w:tblPr>
        <w:tblpPr w:leftFromText="141" w:rightFromText="141" w:vertAnchor="text" w:horzAnchor="margin" w:tblpX="140" w:tblpY="327"/>
        <w:tblW w:w="10773" w:type="dxa"/>
        <w:tblLayout w:type="fixed"/>
        <w:tblCellMar>
          <w:left w:w="70" w:type="dxa"/>
          <w:right w:w="70" w:type="dxa"/>
        </w:tblCellMar>
        <w:tblLook w:val="04A0" w:firstRow="1" w:lastRow="0" w:firstColumn="1" w:lastColumn="0" w:noHBand="0" w:noVBand="1"/>
      </w:tblPr>
      <w:tblGrid>
        <w:gridCol w:w="2551"/>
        <w:gridCol w:w="1206"/>
        <w:gridCol w:w="1629"/>
        <w:gridCol w:w="1276"/>
        <w:gridCol w:w="1559"/>
        <w:gridCol w:w="489"/>
        <w:gridCol w:w="787"/>
        <w:gridCol w:w="1276"/>
      </w:tblGrid>
      <w:tr w:rsidR="002E0F4E" w:rsidRPr="00343AF3" w:rsidTr="00D91427">
        <w:trPr>
          <w:trHeight w:val="255"/>
        </w:trPr>
        <w:tc>
          <w:tcPr>
            <w:tcW w:w="9497" w:type="dxa"/>
            <w:gridSpan w:val="7"/>
            <w:tcBorders>
              <w:top w:val="nil"/>
              <w:left w:val="nil"/>
              <w:bottom w:val="nil"/>
              <w:right w:val="nil"/>
            </w:tcBorders>
            <w:shd w:val="clear" w:color="auto" w:fill="auto"/>
            <w:noWrap/>
            <w:vAlign w:val="bottom"/>
            <w:hideMark/>
          </w:tcPr>
          <w:p w:rsidR="002E0F4E" w:rsidRPr="00343AF3" w:rsidRDefault="002E0F4E" w:rsidP="00D91427">
            <w:pPr>
              <w:spacing w:line="240" w:lineRule="auto"/>
              <w:rPr>
                <w:rFonts w:ascii="Calibri" w:eastAsia="Times New Roman" w:hAnsi="Calibri" w:cs="Arial"/>
                <w:sz w:val="24"/>
                <w:szCs w:val="24"/>
                <w:lang w:eastAsia="fr-FR"/>
              </w:rPr>
            </w:pPr>
            <w:r w:rsidRPr="00343AF3">
              <w:rPr>
                <w:rFonts w:ascii="Calibri" w:eastAsia="Times New Roman" w:hAnsi="Calibri" w:cs="Arial"/>
                <w:sz w:val="24"/>
                <w:szCs w:val="24"/>
                <w:lang w:eastAsia="fr-FR"/>
              </w:rPr>
              <w:t>Équipement des ménages en multimédia selon la catégorie socioprofessionnelle</w:t>
            </w:r>
          </w:p>
        </w:tc>
        <w:tc>
          <w:tcPr>
            <w:tcW w:w="1276" w:type="dxa"/>
            <w:tcBorders>
              <w:top w:val="nil"/>
              <w:left w:val="nil"/>
              <w:bottom w:val="nil"/>
              <w:right w:val="nil"/>
            </w:tcBorders>
            <w:shd w:val="clear" w:color="auto" w:fill="auto"/>
            <w:noWrap/>
            <w:vAlign w:val="bottom"/>
            <w:hideMark/>
          </w:tcPr>
          <w:p w:rsidR="002E0F4E" w:rsidRPr="00343AF3" w:rsidRDefault="002E0F4E" w:rsidP="00D91427">
            <w:pPr>
              <w:spacing w:line="240" w:lineRule="auto"/>
              <w:rPr>
                <w:rFonts w:ascii="Calibri" w:eastAsia="Times New Roman" w:hAnsi="Calibri" w:cs="Arial"/>
                <w:sz w:val="24"/>
                <w:szCs w:val="24"/>
                <w:lang w:eastAsia="fr-FR"/>
              </w:rPr>
            </w:pPr>
          </w:p>
        </w:tc>
      </w:tr>
      <w:tr w:rsidR="002E0F4E" w:rsidRPr="00343AF3" w:rsidTr="00D91427">
        <w:trPr>
          <w:trHeight w:val="270"/>
        </w:trPr>
        <w:tc>
          <w:tcPr>
            <w:tcW w:w="2551" w:type="dxa"/>
            <w:tcBorders>
              <w:top w:val="nil"/>
              <w:left w:val="nil"/>
              <w:bottom w:val="nil"/>
              <w:right w:val="nil"/>
            </w:tcBorders>
            <w:shd w:val="clear" w:color="auto" w:fill="auto"/>
            <w:noWrap/>
            <w:vAlign w:val="bottom"/>
            <w:hideMark/>
          </w:tcPr>
          <w:p w:rsidR="002E0F4E" w:rsidRPr="00343AF3" w:rsidRDefault="002E0F4E" w:rsidP="00D91427">
            <w:pPr>
              <w:spacing w:line="240" w:lineRule="auto"/>
              <w:rPr>
                <w:rFonts w:ascii="Calibri" w:eastAsia="Times New Roman" w:hAnsi="Calibri" w:cs="Arial"/>
                <w:sz w:val="24"/>
                <w:szCs w:val="24"/>
                <w:lang w:eastAsia="fr-FR"/>
              </w:rPr>
            </w:pPr>
          </w:p>
        </w:tc>
        <w:tc>
          <w:tcPr>
            <w:tcW w:w="1206" w:type="dxa"/>
            <w:tcBorders>
              <w:top w:val="nil"/>
              <w:left w:val="nil"/>
              <w:bottom w:val="nil"/>
              <w:right w:val="nil"/>
            </w:tcBorders>
            <w:shd w:val="clear" w:color="auto" w:fill="auto"/>
            <w:noWrap/>
            <w:vAlign w:val="bottom"/>
            <w:hideMark/>
          </w:tcPr>
          <w:p w:rsidR="002E0F4E" w:rsidRPr="00343AF3" w:rsidRDefault="002E0F4E" w:rsidP="00D91427">
            <w:pPr>
              <w:spacing w:line="240" w:lineRule="auto"/>
              <w:rPr>
                <w:rFonts w:ascii="Calibri" w:eastAsia="Times New Roman" w:hAnsi="Calibri" w:cs="Arial"/>
                <w:sz w:val="24"/>
                <w:szCs w:val="24"/>
                <w:lang w:eastAsia="fr-FR"/>
              </w:rPr>
            </w:pPr>
          </w:p>
        </w:tc>
        <w:tc>
          <w:tcPr>
            <w:tcW w:w="1629" w:type="dxa"/>
            <w:tcBorders>
              <w:top w:val="nil"/>
              <w:left w:val="nil"/>
              <w:bottom w:val="nil"/>
              <w:right w:val="nil"/>
            </w:tcBorders>
            <w:shd w:val="clear" w:color="auto" w:fill="auto"/>
            <w:noWrap/>
            <w:vAlign w:val="bottom"/>
            <w:hideMark/>
          </w:tcPr>
          <w:p w:rsidR="002E0F4E" w:rsidRPr="00343AF3" w:rsidRDefault="002E0F4E" w:rsidP="00D91427">
            <w:pPr>
              <w:spacing w:line="240" w:lineRule="auto"/>
              <w:rPr>
                <w:rFonts w:ascii="Calibri" w:eastAsia="Times New Roman" w:hAnsi="Calibri" w:cs="Arial"/>
                <w:sz w:val="24"/>
                <w:szCs w:val="24"/>
                <w:lang w:eastAsia="fr-FR"/>
              </w:rPr>
            </w:pPr>
          </w:p>
        </w:tc>
        <w:tc>
          <w:tcPr>
            <w:tcW w:w="1276" w:type="dxa"/>
            <w:tcBorders>
              <w:top w:val="nil"/>
              <w:left w:val="nil"/>
              <w:bottom w:val="nil"/>
              <w:right w:val="nil"/>
            </w:tcBorders>
            <w:shd w:val="clear" w:color="auto" w:fill="auto"/>
            <w:noWrap/>
            <w:vAlign w:val="bottom"/>
            <w:hideMark/>
          </w:tcPr>
          <w:p w:rsidR="002E0F4E" w:rsidRPr="00343AF3" w:rsidRDefault="002E0F4E" w:rsidP="00D91427">
            <w:pPr>
              <w:spacing w:line="240" w:lineRule="auto"/>
              <w:rPr>
                <w:rFonts w:ascii="Calibri" w:eastAsia="Times New Roman" w:hAnsi="Calibri" w:cs="Arial"/>
                <w:sz w:val="24"/>
                <w:szCs w:val="24"/>
                <w:lang w:eastAsia="fr-FR"/>
              </w:rPr>
            </w:pPr>
          </w:p>
        </w:tc>
        <w:tc>
          <w:tcPr>
            <w:tcW w:w="1559" w:type="dxa"/>
            <w:tcBorders>
              <w:top w:val="nil"/>
              <w:left w:val="nil"/>
              <w:bottom w:val="nil"/>
              <w:right w:val="nil"/>
            </w:tcBorders>
            <w:shd w:val="clear" w:color="auto" w:fill="auto"/>
            <w:noWrap/>
            <w:vAlign w:val="bottom"/>
            <w:hideMark/>
          </w:tcPr>
          <w:p w:rsidR="002E0F4E" w:rsidRPr="00343AF3" w:rsidRDefault="002E0F4E" w:rsidP="00D91427">
            <w:pPr>
              <w:spacing w:line="240" w:lineRule="auto"/>
              <w:rPr>
                <w:rFonts w:ascii="Calibri" w:eastAsia="Times New Roman" w:hAnsi="Calibri" w:cs="Arial"/>
                <w:sz w:val="24"/>
                <w:szCs w:val="24"/>
                <w:lang w:eastAsia="fr-FR"/>
              </w:rPr>
            </w:pPr>
          </w:p>
        </w:tc>
        <w:tc>
          <w:tcPr>
            <w:tcW w:w="1276" w:type="dxa"/>
            <w:gridSpan w:val="2"/>
            <w:tcBorders>
              <w:top w:val="nil"/>
              <w:left w:val="nil"/>
              <w:bottom w:val="nil"/>
              <w:right w:val="nil"/>
            </w:tcBorders>
            <w:shd w:val="clear" w:color="auto" w:fill="auto"/>
            <w:noWrap/>
            <w:vAlign w:val="bottom"/>
            <w:hideMark/>
          </w:tcPr>
          <w:p w:rsidR="002E0F4E" w:rsidRPr="00343AF3" w:rsidRDefault="002E0F4E" w:rsidP="00D91427">
            <w:pPr>
              <w:spacing w:line="240" w:lineRule="auto"/>
              <w:rPr>
                <w:rFonts w:ascii="Calibri" w:eastAsia="Times New Roman" w:hAnsi="Calibri" w:cs="Arial"/>
                <w:sz w:val="24"/>
                <w:szCs w:val="24"/>
                <w:lang w:eastAsia="fr-FR"/>
              </w:rPr>
            </w:pPr>
          </w:p>
        </w:tc>
        <w:tc>
          <w:tcPr>
            <w:tcW w:w="1276" w:type="dxa"/>
            <w:tcBorders>
              <w:top w:val="nil"/>
              <w:left w:val="nil"/>
              <w:bottom w:val="nil"/>
              <w:right w:val="nil"/>
            </w:tcBorders>
            <w:shd w:val="clear" w:color="auto" w:fill="auto"/>
            <w:noWrap/>
            <w:vAlign w:val="bottom"/>
            <w:hideMark/>
          </w:tcPr>
          <w:p w:rsidR="002E0F4E" w:rsidRPr="00343AF3" w:rsidRDefault="002E0F4E" w:rsidP="00D91427">
            <w:pPr>
              <w:spacing w:line="240" w:lineRule="auto"/>
              <w:rPr>
                <w:rFonts w:ascii="Calibri" w:eastAsia="Times New Roman" w:hAnsi="Calibri" w:cs="Arial"/>
                <w:sz w:val="24"/>
                <w:szCs w:val="24"/>
                <w:lang w:eastAsia="fr-FR"/>
              </w:rPr>
            </w:pPr>
            <w:bookmarkStart w:id="11" w:name="RANGE!G2"/>
            <w:r w:rsidRPr="00343AF3">
              <w:rPr>
                <w:rFonts w:ascii="Calibri" w:eastAsia="Times New Roman" w:hAnsi="Calibri" w:cs="Arial"/>
                <w:sz w:val="24"/>
                <w:szCs w:val="24"/>
                <w:lang w:eastAsia="fr-FR"/>
              </w:rPr>
              <w:t>En 2010, en %</w:t>
            </w:r>
            <w:bookmarkEnd w:id="11"/>
          </w:p>
        </w:tc>
      </w:tr>
      <w:tr w:rsidR="002E0F4E" w:rsidRPr="00343AF3" w:rsidTr="00D91427">
        <w:trPr>
          <w:trHeight w:val="525"/>
        </w:trPr>
        <w:tc>
          <w:tcPr>
            <w:tcW w:w="25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E0F4E" w:rsidRPr="00343AF3" w:rsidRDefault="002E0F4E" w:rsidP="00D91427">
            <w:pPr>
              <w:spacing w:line="240" w:lineRule="auto"/>
              <w:jc w:val="center"/>
              <w:rPr>
                <w:rFonts w:ascii="Calibri" w:eastAsia="Times New Roman" w:hAnsi="Calibri" w:cs="Arial"/>
                <w:sz w:val="24"/>
                <w:szCs w:val="24"/>
                <w:lang w:eastAsia="fr-FR"/>
              </w:rPr>
            </w:pPr>
            <w:bookmarkStart w:id="12" w:name="RANGE!A3:G3"/>
            <w:r w:rsidRPr="00343AF3">
              <w:rPr>
                <w:rFonts w:ascii="Calibri" w:eastAsia="Times New Roman" w:hAnsi="Calibri" w:cs="Arial"/>
                <w:sz w:val="24"/>
                <w:szCs w:val="24"/>
                <w:lang w:eastAsia="fr-FR"/>
              </w:rPr>
              <w:t>Catégorie socioprofessionnelle</w:t>
            </w:r>
            <w:bookmarkEnd w:id="12"/>
          </w:p>
        </w:tc>
        <w:tc>
          <w:tcPr>
            <w:tcW w:w="1206" w:type="dxa"/>
            <w:tcBorders>
              <w:top w:val="single" w:sz="8" w:space="0" w:color="auto"/>
              <w:left w:val="nil"/>
              <w:bottom w:val="single" w:sz="8" w:space="0" w:color="auto"/>
              <w:right w:val="single" w:sz="4" w:space="0" w:color="auto"/>
            </w:tcBorders>
            <w:shd w:val="clear" w:color="auto" w:fill="auto"/>
            <w:vAlign w:val="center"/>
            <w:hideMark/>
          </w:tcPr>
          <w:p w:rsidR="002E0F4E" w:rsidRPr="00343AF3" w:rsidRDefault="002E0F4E" w:rsidP="00D91427">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Téléviseur couleur</w:t>
            </w:r>
          </w:p>
        </w:tc>
        <w:tc>
          <w:tcPr>
            <w:tcW w:w="1629" w:type="dxa"/>
            <w:tcBorders>
              <w:top w:val="single" w:sz="8" w:space="0" w:color="auto"/>
              <w:left w:val="nil"/>
              <w:bottom w:val="single" w:sz="8" w:space="0" w:color="auto"/>
              <w:right w:val="single" w:sz="4" w:space="0" w:color="auto"/>
            </w:tcBorders>
            <w:shd w:val="clear" w:color="auto" w:fill="auto"/>
            <w:vAlign w:val="center"/>
            <w:hideMark/>
          </w:tcPr>
          <w:p w:rsidR="002E0F4E" w:rsidRPr="00343AF3" w:rsidRDefault="002E0F4E" w:rsidP="00D91427">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Magnétoscope ou lecteur DVD</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2E0F4E" w:rsidRPr="00343AF3" w:rsidRDefault="002E0F4E" w:rsidP="00D91427">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 xml:space="preserve">Téléphone fixe </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rsidR="002E0F4E" w:rsidRPr="00343AF3" w:rsidRDefault="002E0F4E" w:rsidP="00D91427">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Téléphone portable</w:t>
            </w:r>
          </w:p>
        </w:tc>
        <w:tc>
          <w:tcPr>
            <w:tcW w:w="1276" w:type="dxa"/>
            <w:gridSpan w:val="2"/>
            <w:tcBorders>
              <w:top w:val="single" w:sz="8" w:space="0" w:color="auto"/>
              <w:left w:val="nil"/>
              <w:bottom w:val="single" w:sz="8" w:space="0" w:color="auto"/>
              <w:right w:val="single" w:sz="4" w:space="0" w:color="auto"/>
            </w:tcBorders>
            <w:shd w:val="clear" w:color="auto" w:fill="auto"/>
            <w:vAlign w:val="center"/>
            <w:hideMark/>
          </w:tcPr>
          <w:p w:rsidR="002E0F4E" w:rsidRPr="00343AF3" w:rsidRDefault="002E0F4E" w:rsidP="00D91427">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 xml:space="preserve">Micro-ordinateur </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2E0F4E" w:rsidRPr="00343AF3" w:rsidRDefault="002E0F4E" w:rsidP="00D91427">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 xml:space="preserve">Connexion à Internet </w:t>
            </w:r>
          </w:p>
        </w:tc>
      </w:tr>
      <w:tr w:rsidR="002E0F4E" w:rsidRPr="00343AF3" w:rsidTr="00D91427">
        <w:trPr>
          <w:trHeight w:val="255"/>
        </w:trPr>
        <w:tc>
          <w:tcPr>
            <w:tcW w:w="2551" w:type="dxa"/>
            <w:tcBorders>
              <w:top w:val="nil"/>
              <w:left w:val="single" w:sz="8" w:space="0" w:color="auto"/>
              <w:bottom w:val="single" w:sz="4" w:space="0" w:color="auto"/>
              <w:right w:val="nil"/>
            </w:tcBorders>
            <w:shd w:val="clear" w:color="auto" w:fill="auto"/>
            <w:noWrap/>
            <w:vAlign w:val="bottom"/>
            <w:hideMark/>
          </w:tcPr>
          <w:p w:rsidR="002E0F4E" w:rsidRPr="00343AF3" w:rsidRDefault="002E0F4E" w:rsidP="00D91427">
            <w:pPr>
              <w:spacing w:line="240" w:lineRule="auto"/>
              <w:rPr>
                <w:rFonts w:ascii="Calibri" w:eastAsia="Times New Roman" w:hAnsi="Calibri" w:cs="Arial"/>
                <w:sz w:val="24"/>
                <w:szCs w:val="24"/>
                <w:lang w:eastAsia="fr-FR"/>
              </w:rPr>
            </w:pPr>
            <w:bookmarkStart w:id="13" w:name="RANGE!A4:A12"/>
            <w:r w:rsidRPr="00343AF3">
              <w:rPr>
                <w:rFonts w:ascii="Calibri" w:eastAsia="Times New Roman" w:hAnsi="Calibri" w:cs="Arial"/>
                <w:sz w:val="24"/>
                <w:szCs w:val="24"/>
                <w:lang w:eastAsia="fr-FR"/>
              </w:rPr>
              <w:t>Agriculteurs exploitants</w:t>
            </w:r>
            <w:bookmarkEnd w:id="13"/>
          </w:p>
        </w:tc>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2E0F4E" w:rsidRPr="00343AF3" w:rsidRDefault="002E0F4E" w:rsidP="00D91427">
            <w:pPr>
              <w:spacing w:line="240" w:lineRule="auto"/>
              <w:jc w:val="center"/>
              <w:rPr>
                <w:rFonts w:ascii="Calibri" w:eastAsia="Times New Roman" w:hAnsi="Calibri" w:cs="Arial"/>
                <w:sz w:val="24"/>
                <w:szCs w:val="24"/>
                <w:lang w:eastAsia="fr-FR"/>
              </w:rPr>
            </w:pPr>
            <w:bookmarkStart w:id="14" w:name="RANGE!B4:G12"/>
            <w:r w:rsidRPr="00343AF3">
              <w:rPr>
                <w:rFonts w:ascii="Calibri" w:eastAsia="Times New Roman" w:hAnsi="Calibri" w:cs="Arial"/>
                <w:sz w:val="24"/>
                <w:szCs w:val="24"/>
                <w:lang w:eastAsia="fr-FR"/>
              </w:rPr>
              <w:t>100,0</w:t>
            </w:r>
            <w:bookmarkEnd w:id="14"/>
          </w:p>
        </w:tc>
        <w:tc>
          <w:tcPr>
            <w:tcW w:w="1629" w:type="dxa"/>
            <w:tcBorders>
              <w:top w:val="nil"/>
              <w:left w:val="nil"/>
              <w:bottom w:val="single" w:sz="4" w:space="0" w:color="auto"/>
              <w:right w:val="single" w:sz="4" w:space="0" w:color="auto"/>
            </w:tcBorders>
            <w:shd w:val="clear" w:color="auto" w:fill="auto"/>
            <w:hideMark/>
          </w:tcPr>
          <w:p w:rsidR="002E0F4E" w:rsidRPr="00343AF3" w:rsidRDefault="002E0F4E" w:rsidP="00D91427">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87,0</w:t>
            </w:r>
          </w:p>
        </w:tc>
        <w:tc>
          <w:tcPr>
            <w:tcW w:w="1276" w:type="dxa"/>
            <w:tcBorders>
              <w:top w:val="nil"/>
              <w:left w:val="nil"/>
              <w:bottom w:val="single" w:sz="4" w:space="0" w:color="auto"/>
              <w:right w:val="single" w:sz="4" w:space="0" w:color="auto"/>
            </w:tcBorders>
            <w:shd w:val="clear" w:color="auto" w:fill="auto"/>
            <w:noWrap/>
            <w:vAlign w:val="center"/>
            <w:hideMark/>
          </w:tcPr>
          <w:p w:rsidR="002E0F4E" w:rsidRPr="00343AF3" w:rsidRDefault="002E0F4E" w:rsidP="00D91427">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89,1</w:t>
            </w:r>
          </w:p>
        </w:tc>
        <w:tc>
          <w:tcPr>
            <w:tcW w:w="1559" w:type="dxa"/>
            <w:tcBorders>
              <w:top w:val="nil"/>
              <w:left w:val="nil"/>
              <w:bottom w:val="single" w:sz="4" w:space="0" w:color="auto"/>
              <w:right w:val="single" w:sz="4" w:space="0" w:color="auto"/>
            </w:tcBorders>
            <w:shd w:val="clear" w:color="auto" w:fill="auto"/>
            <w:noWrap/>
            <w:vAlign w:val="center"/>
            <w:hideMark/>
          </w:tcPr>
          <w:p w:rsidR="002E0F4E" w:rsidRPr="00343AF3" w:rsidRDefault="002E0F4E" w:rsidP="00D91427">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90,2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E0F4E" w:rsidRPr="00343AF3" w:rsidRDefault="002E0F4E" w:rsidP="00D91427">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74,5</w:t>
            </w:r>
          </w:p>
        </w:tc>
        <w:tc>
          <w:tcPr>
            <w:tcW w:w="1276" w:type="dxa"/>
            <w:tcBorders>
              <w:top w:val="nil"/>
              <w:left w:val="nil"/>
              <w:bottom w:val="single" w:sz="4" w:space="0" w:color="auto"/>
              <w:right w:val="single" w:sz="4" w:space="0" w:color="auto"/>
            </w:tcBorders>
            <w:shd w:val="clear" w:color="auto" w:fill="auto"/>
            <w:noWrap/>
            <w:vAlign w:val="center"/>
            <w:hideMark/>
          </w:tcPr>
          <w:p w:rsidR="002E0F4E" w:rsidRPr="00343AF3" w:rsidRDefault="002E0F4E" w:rsidP="00D91427">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64,3</w:t>
            </w:r>
          </w:p>
        </w:tc>
      </w:tr>
      <w:tr w:rsidR="002E0F4E" w:rsidRPr="00343AF3" w:rsidTr="00D91427">
        <w:trPr>
          <w:trHeight w:val="510"/>
        </w:trPr>
        <w:tc>
          <w:tcPr>
            <w:tcW w:w="2551" w:type="dxa"/>
            <w:tcBorders>
              <w:top w:val="nil"/>
              <w:left w:val="single" w:sz="8" w:space="0" w:color="auto"/>
              <w:bottom w:val="single" w:sz="4" w:space="0" w:color="auto"/>
              <w:right w:val="nil"/>
            </w:tcBorders>
            <w:shd w:val="clear" w:color="auto" w:fill="auto"/>
            <w:vAlign w:val="center"/>
            <w:hideMark/>
          </w:tcPr>
          <w:p w:rsidR="002E0F4E" w:rsidRPr="00343AF3" w:rsidRDefault="002E0F4E" w:rsidP="00D91427">
            <w:pPr>
              <w:spacing w:line="240" w:lineRule="auto"/>
              <w:rPr>
                <w:rFonts w:ascii="Calibri" w:eastAsia="Times New Roman" w:hAnsi="Calibri" w:cs="Arial"/>
                <w:sz w:val="24"/>
                <w:szCs w:val="24"/>
                <w:lang w:eastAsia="fr-FR"/>
              </w:rPr>
            </w:pPr>
            <w:r w:rsidRPr="00343AF3">
              <w:rPr>
                <w:rFonts w:ascii="Calibri" w:eastAsia="Times New Roman" w:hAnsi="Calibri" w:cs="Arial"/>
                <w:sz w:val="24"/>
                <w:szCs w:val="24"/>
                <w:lang w:eastAsia="fr-FR"/>
              </w:rPr>
              <w:t>Artisans, commerçants, chefs d'entreprise</w:t>
            </w:r>
          </w:p>
        </w:tc>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2E0F4E" w:rsidRPr="00343AF3" w:rsidRDefault="002E0F4E" w:rsidP="00D91427">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96,5</w:t>
            </w:r>
          </w:p>
        </w:tc>
        <w:tc>
          <w:tcPr>
            <w:tcW w:w="1629" w:type="dxa"/>
            <w:tcBorders>
              <w:top w:val="nil"/>
              <w:left w:val="nil"/>
              <w:bottom w:val="single" w:sz="4" w:space="0" w:color="auto"/>
              <w:right w:val="single" w:sz="4" w:space="0" w:color="auto"/>
            </w:tcBorders>
            <w:shd w:val="clear" w:color="auto" w:fill="auto"/>
            <w:hideMark/>
          </w:tcPr>
          <w:p w:rsidR="002E0F4E" w:rsidRPr="00343AF3" w:rsidRDefault="002E0F4E" w:rsidP="00D91427">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86,1</w:t>
            </w:r>
          </w:p>
        </w:tc>
        <w:tc>
          <w:tcPr>
            <w:tcW w:w="1276" w:type="dxa"/>
            <w:tcBorders>
              <w:top w:val="nil"/>
              <w:left w:val="nil"/>
              <w:bottom w:val="single" w:sz="4" w:space="0" w:color="auto"/>
              <w:right w:val="single" w:sz="4" w:space="0" w:color="auto"/>
            </w:tcBorders>
            <w:shd w:val="clear" w:color="auto" w:fill="auto"/>
            <w:noWrap/>
            <w:vAlign w:val="center"/>
            <w:hideMark/>
          </w:tcPr>
          <w:p w:rsidR="002E0F4E" w:rsidRPr="00343AF3" w:rsidRDefault="002E0F4E" w:rsidP="00D91427">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86,1</w:t>
            </w:r>
          </w:p>
        </w:tc>
        <w:tc>
          <w:tcPr>
            <w:tcW w:w="1559" w:type="dxa"/>
            <w:tcBorders>
              <w:top w:val="nil"/>
              <w:left w:val="nil"/>
              <w:bottom w:val="single" w:sz="4" w:space="0" w:color="auto"/>
              <w:right w:val="single" w:sz="4" w:space="0" w:color="auto"/>
            </w:tcBorders>
            <w:shd w:val="clear" w:color="auto" w:fill="auto"/>
            <w:noWrap/>
            <w:vAlign w:val="center"/>
            <w:hideMark/>
          </w:tcPr>
          <w:p w:rsidR="002E0F4E" w:rsidRPr="00343AF3" w:rsidRDefault="002E0F4E" w:rsidP="00D91427">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94,3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E0F4E" w:rsidRPr="00343AF3" w:rsidRDefault="002E0F4E" w:rsidP="00D91427">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88,3</w:t>
            </w:r>
          </w:p>
        </w:tc>
        <w:tc>
          <w:tcPr>
            <w:tcW w:w="1276" w:type="dxa"/>
            <w:tcBorders>
              <w:top w:val="nil"/>
              <w:left w:val="nil"/>
              <w:bottom w:val="single" w:sz="4" w:space="0" w:color="auto"/>
              <w:right w:val="single" w:sz="4" w:space="0" w:color="auto"/>
            </w:tcBorders>
            <w:shd w:val="clear" w:color="auto" w:fill="auto"/>
            <w:noWrap/>
            <w:vAlign w:val="center"/>
            <w:hideMark/>
          </w:tcPr>
          <w:p w:rsidR="002E0F4E" w:rsidRPr="00343AF3" w:rsidRDefault="002E0F4E" w:rsidP="00D91427">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80,7</w:t>
            </w:r>
          </w:p>
        </w:tc>
      </w:tr>
      <w:tr w:rsidR="002E0F4E" w:rsidRPr="00343AF3" w:rsidTr="00D91427">
        <w:trPr>
          <w:trHeight w:val="510"/>
        </w:trPr>
        <w:tc>
          <w:tcPr>
            <w:tcW w:w="2551" w:type="dxa"/>
            <w:tcBorders>
              <w:top w:val="nil"/>
              <w:left w:val="single" w:sz="8" w:space="0" w:color="auto"/>
              <w:bottom w:val="single" w:sz="4" w:space="0" w:color="auto"/>
              <w:right w:val="nil"/>
            </w:tcBorders>
            <w:shd w:val="clear" w:color="auto" w:fill="auto"/>
            <w:vAlign w:val="center"/>
            <w:hideMark/>
          </w:tcPr>
          <w:p w:rsidR="002E0F4E" w:rsidRPr="00343AF3" w:rsidRDefault="002E0F4E" w:rsidP="00D91427">
            <w:pPr>
              <w:spacing w:line="240" w:lineRule="auto"/>
              <w:rPr>
                <w:rFonts w:ascii="Calibri" w:eastAsia="Times New Roman" w:hAnsi="Calibri" w:cs="Arial"/>
                <w:sz w:val="24"/>
                <w:szCs w:val="24"/>
                <w:lang w:eastAsia="fr-FR"/>
              </w:rPr>
            </w:pPr>
            <w:r w:rsidRPr="00343AF3">
              <w:rPr>
                <w:rFonts w:ascii="Calibri" w:eastAsia="Times New Roman" w:hAnsi="Calibri" w:cs="Arial"/>
                <w:sz w:val="24"/>
                <w:szCs w:val="24"/>
                <w:lang w:eastAsia="fr-FR"/>
              </w:rPr>
              <w:t>Cadres et professions intellectuelles supérieures</w:t>
            </w:r>
          </w:p>
        </w:tc>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2E0F4E" w:rsidRPr="00343AF3" w:rsidRDefault="002E0F4E" w:rsidP="00D91427">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94,9</w:t>
            </w:r>
          </w:p>
        </w:tc>
        <w:tc>
          <w:tcPr>
            <w:tcW w:w="1629" w:type="dxa"/>
            <w:tcBorders>
              <w:top w:val="nil"/>
              <w:left w:val="nil"/>
              <w:bottom w:val="single" w:sz="4" w:space="0" w:color="auto"/>
              <w:right w:val="single" w:sz="4" w:space="0" w:color="auto"/>
            </w:tcBorders>
            <w:shd w:val="clear" w:color="auto" w:fill="auto"/>
            <w:hideMark/>
          </w:tcPr>
          <w:p w:rsidR="002E0F4E" w:rsidRPr="00343AF3" w:rsidRDefault="002E0F4E" w:rsidP="00D91427">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91,3</w:t>
            </w:r>
          </w:p>
        </w:tc>
        <w:tc>
          <w:tcPr>
            <w:tcW w:w="1276" w:type="dxa"/>
            <w:tcBorders>
              <w:top w:val="nil"/>
              <w:left w:val="nil"/>
              <w:bottom w:val="single" w:sz="4" w:space="0" w:color="auto"/>
              <w:right w:val="single" w:sz="4" w:space="0" w:color="auto"/>
            </w:tcBorders>
            <w:shd w:val="clear" w:color="auto" w:fill="auto"/>
            <w:noWrap/>
            <w:vAlign w:val="center"/>
            <w:hideMark/>
          </w:tcPr>
          <w:p w:rsidR="002E0F4E" w:rsidRPr="00343AF3" w:rsidRDefault="002E0F4E" w:rsidP="00D91427">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96,7</w:t>
            </w:r>
          </w:p>
        </w:tc>
        <w:tc>
          <w:tcPr>
            <w:tcW w:w="1559" w:type="dxa"/>
            <w:tcBorders>
              <w:top w:val="nil"/>
              <w:left w:val="nil"/>
              <w:bottom w:val="single" w:sz="4" w:space="0" w:color="auto"/>
              <w:right w:val="single" w:sz="4" w:space="0" w:color="auto"/>
            </w:tcBorders>
            <w:shd w:val="clear" w:color="auto" w:fill="auto"/>
            <w:noWrap/>
            <w:vAlign w:val="center"/>
            <w:hideMark/>
          </w:tcPr>
          <w:p w:rsidR="002E0F4E" w:rsidRPr="00343AF3" w:rsidRDefault="002E0F4E" w:rsidP="00D91427">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97,1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E0F4E" w:rsidRPr="00343AF3" w:rsidRDefault="002E0F4E" w:rsidP="00D91427">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98,8</w:t>
            </w:r>
          </w:p>
        </w:tc>
        <w:tc>
          <w:tcPr>
            <w:tcW w:w="1276" w:type="dxa"/>
            <w:tcBorders>
              <w:top w:val="nil"/>
              <w:left w:val="nil"/>
              <w:bottom w:val="single" w:sz="4" w:space="0" w:color="auto"/>
              <w:right w:val="single" w:sz="4" w:space="0" w:color="auto"/>
            </w:tcBorders>
            <w:shd w:val="clear" w:color="auto" w:fill="auto"/>
            <w:noWrap/>
            <w:vAlign w:val="center"/>
            <w:hideMark/>
          </w:tcPr>
          <w:p w:rsidR="002E0F4E" w:rsidRPr="00343AF3" w:rsidRDefault="002E0F4E" w:rsidP="00D91427">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95,7</w:t>
            </w:r>
          </w:p>
        </w:tc>
      </w:tr>
      <w:tr w:rsidR="002E0F4E" w:rsidRPr="00343AF3" w:rsidTr="00D91427">
        <w:trPr>
          <w:trHeight w:val="255"/>
        </w:trPr>
        <w:tc>
          <w:tcPr>
            <w:tcW w:w="2551" w:type="dxa"/>
            <w:tcBorders>
              <w:top w:val="nil"/>
              <w:left w:val="single" w:sz="8" w:space="0" w:color="auto"/>
              <w:bottom w:val="single" w:sz="4" w:space="0" w:color="auto"/>
              <w:right w:val="nil"/>
            </w:tcBorders>
            <w:shd w:val="clear" w:color="auto" w:fill="auto"/>
            <w:noWrap/>
            <w:vAlign w:val="bottom"/>
            <w:hideMark/>
          </w:tcPr>
          <w:p w:rsidR="002E0F4E" w:rsidRPr="00343AF3" w:rsidRDefault="002E0F4E" w:rsidP="00D91427">
            <w:pPr>
              <w:spacing w:line="240" w:lineRule="auto"/>
              <w:rPr>
                <w:rFonts w:ascii="Calibri" w:eastAsia="Times New Roman" w:hAnsi="Calibri" w:cs="Arial"/>
                <w:sz w:val="24"/>
                <w:szCs w:val="24"/>
                <w:lang w:eastAsia="fr-FR"/>
              </w:rPr>
            </w:pPr>
            <w:r w:rsidRPr="00343AF3">
              <w:rPr>
                <w:rFonts w:ascii="Calibri" w:eastAsia="Times New Roman" w:hAnsi="Calibri" w:cs="Arial"/>
                <w:sz w:val="24"/>
                <w:szCs w:val="24"/>
                <w:lang w:eastAsia="fr-FR"/>
              </w:rPr>
              <w:t>Professions intermédiaires</w:t>
            </w:r>
          </w:p>
        </w:tc>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2E0F4E" w:rsidRPr="00343AF3" w:rsidRDefault="002E0F4E" w:rsidP="00D91427">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97,0</w:t>
            </w:r>
          </w:p>
        </w:tc>
        <w:tc>
          <w:tcPr>
            <w:tcW w:w="1629" w:type="dxa"/>
            <w:tcBorders>
              <w:top w:val="nil"/>
              <w:left w:val="nil"/>
              <w:bottom w:val="single" w:sz="4" w:space="0" w:color="auto"/>
              <w:right w:val="single" w:sz="4" w:space="0" w:color="auto"/>
            </w:tcBorders>
            <w:shd w:val="clear" w:color="auto" w:fill="auto"/>
            <w:hideMark/>
          </w:tcPr>
          <w:p w:rsidR="002E0F4E" w:rsidRPr="00343AF3" w:rsidRDefault="002E0F4E" w:rsidP="00D91427">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91,5</w:t>
            </w:r>
          </w:p>
        </w:tc>
        <w:tc>
          <w:tcPr>
            <w:tcW w:w="1276" w:type="dxa"/>
            <w:tcBorders>
              <w:top w:val="nil"/>
              <w:left w:val="nil"/>
              <w:bottom w:val="single" w:sz="4" w:space="0" w:color="auto"/>
              <w:right w:val="single" w:sz="4" w:space="0" w:color="auto"/>
            </w:tcBorders>
            <w:shd w:val="clear" w:color="auto" w:fill="auto"/>
            <w:noWrap/>
            <w:vAlign w:val="center"/>
            <w:hideMark/>
          </w:tcPr>
          <w:p w:rsidR="002E0F4E" w:rsidRPr="00343AF3" w:rsidRDefault="002E0F4E" w:rsidP="00D91427">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90,8</w:t>
            </w:r>
          </w:p>
        </w:tc>
        <w:tc>
          <w:tcPr>
            <w:tcW w:w="1559" w:type="dxa"/>
            <w:tcBorders>
              <w:top w:val="nil"/>
              <w:left w:val="nil"/>
              <w:bottom w:val="single" w:sz="4" w:space="0" w:color="auto"/>
              <w:right w:val="single" w:sz="4" w:space="0" w:color="auto"/>
            </w:tcBorders>
            <w:shd w:val="clear" w:color="auto" w:fill="auto"/>
            <w:noWrap/>
            <w:vAlign w:val="center"/>
            <w:hideMark/>
          </w:tcPr>
          <w:p w:rsidR="002E0F4E" w:rsidRPr="00343AF3" w:rsidRDefault="002E0F4E" w:rsidP="00D91427">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97,7</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E0F4E" w:rsidRPr="00343AF3" w:rsidRDefault="002E0F4E" w:rsidP="00D91427">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93,9</w:t>
            </w:r>
          </w:p>
        </w:tc>
        <w:tc>
          <w:tcPr>
            <w:tcW w:w="1276" w:type="dxa"/>
            <w:tcBorders>
              <w:top w:val="nil"/>
              <w:left w:val="nil"/>
              <w:bottom w:val="single" w:sz="4" w:space="0" w:color="auto"/>
              <w:right w:val="single" w:sz="4" w:space="0" w:color="auto"/>
            </w:tcBorders>
            <w:shd w:val="clear" w:color="auto" w:fill="auto"/>
            <w:noWrap/>
            <w:vAlign w:val="center"/>
            <w:hideMark/>
          </w:tcPr>
          <w:p w:rsidR="002E0F4E" w:rsidRPr="00343AF3" w:rsidRDefault="002E0F4E" w:rsidP="00D91427">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87,9</w:t>
            </w:r>
          </w:p>
        </w:tc>
      </w:tr>
      <w:tr w:rsidR="002E0F4E" w:rsidRPr="00343AF3" w:rsidTr="00D91427">
        <w:trPr>
          <w:trHeight w:val="255"/>
        </w:trPr>
        <w:tc>
          <w:tcPr>
            <w:tcW w:w="2551" w:type="dxa"/>
            <w:tcBorders>
              <w:top w:val="nil"/>
              <w:left w:val="single" w:sz="8" w:space="0" w:color="auto"/>
              <w:bottom w:val="single" w:sz="4" w:space="0" w:color="auto"/>
              <w:right w:val="nil"/>
            </w:tcBorders>
            <w:shd w:val="clear" w:color="auto" w:fill="auto"/>
            <w:noWrap/>
            <w:vAlign w:val="bottom"/>
            <w:hideMark/>
          </w:tcPr>
          <w:p w:rsidR="002E0F4E" w:rsidRPr="00343AF3" w:rsidRDefault="002E0F4E" w:rsidP="00D91427">
            <w:pPr>
              <w:spacing w:line="240" w:lineRule="auto"/>
              <w:rPr>
                <w:rFonts w:ascii="Calibri" w:eastAsia="Times New Roman" w:hAnsi="Calibri" w:cs="Arial"/>
                <w:sz w:val="24"/>
                <w:szCs w:val="24"/>
                <w:lang w:eastAsia="fr-FR"/>
              </w:rPr>
            </w:pPr>
            <w:r w:rsidRPr="00343AF3">
              <w:rPr>
                <w:rFonts w:ascii="Calibri" w:eastAsia="Times New Roman" w:hAnsi="Calibri" w:cs="Arial"/>
                <w:sz w:val="24"/>
                <w:szCs w:val="24"/>
                <w:lang w:eastAsia="fr-FR"/>
              </w:rPr>
              <w:t>Employés</w:t>
            </w:r>
          </w:p>
        </w:tc>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2E0F4E" w:rsidRPr="00343AF3" w:rsidRDefault="002E0F4E" w:rsidP="00D91427">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98,4</w:t>
            </w:r>
          </w:p>
        </w:tc>
        <w:tc>
          <w:tcPr>
            <w:tcW w:w="1629" w:type="dxa"/>
            <w:tcBorders>
              <w:top w:val="nil"/>
              <w:left w:val="nil"/>
              <w:bottom w:val="single" w:sz="4" w:space="0" w:color="auto"/>
              <w:right w:val="single" w:sz="4" w:space="0" w:color="auto"/>
            </w:tcBorders>
            <w:shd w:val="clear" w:color="auto" w:fill="auto"/>
            <w:hideMark/>
          </w:tcPr>
          <w:p w:rsidR="002E0F4E" w:rsidRPr="00343AF3" w:rsidRDefault="002E0F4E" w:rsidP="00D91427">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90,2</w:t>
            </w:r>
          </w:p>
        </w:tc>
        <w:tc>
          <w:tcPr>
            <w:tcW w:w="1276" w:type="dxa"/>
            <w:tcBorders>
              <w:top w:val="nil"/>
              <w:left w:val="nil"/>
              <w:bottom w:val="single" w:sz="4" w:space="0" w:color="auto"/>
              <w:right w:val="single" w:sz="4" w:space="0" w:color="auto"/>
            </w:tcBorders>
            <w:shd w:val="clear" w:color="auto" w:fill="auto"/>
            <w:noWrap/>
            <w:vAlign w:val="center"/>
            <w:hideMark/>
          </w:tcPr>
          <w:p w:rsidR="002E0F4E" w:rsidRPr="00343AF3" w:rsidRDefault="002E0F4E" w:rsidP="00D91427">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85,3</w:t>
            </w:r>
          </w:p>
        </w:tc>
        <w:tc>
          <w:tcPr>
            <w:tcW w:w="1559" w:type="dxa"/>
            <w:tcBorders>
              <w:top w:val="nil"/>
              <w:left w:val="nil"/>
              <w:bottom w:val="single" w:sz="4" w:space="0" w:color="auto"/>
              <w:right w:val="single" w:sz="4" w:space="0" w:color="auto"/>
            </w:tcBorders>
            <w:shd w:val="clear" w:color="auto" w:fill="auto"/>
            <w:noWrap/>
            <w:vAlign w:val="center"/>
            <w:hideMark/>
          </w:tcPr>
          <w:p w:rsidR="002E0F4E" w:rsidRPr="00343AF3" w:rsidRDefault="002E0F4E" w:rsidP="00D91427">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95,2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E0F4E" w:rsidRPr="00343AF3" w:rsidRDefault="002E0F4E" w:rsidP="00D91427">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81,9</w:t>
            </w:r>
          </w:p>
        </w:tc>
        <w:tc>
          <w:tcPr>
            <w:tcW w:w="1276" w:type="dxa"/>
            <w:tcBorders>
              <w:top w:val="nil"/>
              <w:left w:val="nil"/>
              <w:bottom w:val="single" w:sz="4" w:space="0" w:color="auto"/>
              <w:right w:val="single" w:sz="4" w:space="0" w:color="auto"/>
            </w:tcBorders>
            <w:shd w:val="clear" w:color="auto" w:fill="auto"/>
            <w:noWrap/>
            <w:vAlign w:val="center"/>
            <w:hideMark/>
          </w:tcPr>
          <w:p w:rsidR="002E0F4E" w:rsidRPr="00343AF3" w:rsidRDefault="002E0F4E" w:rsidP="00D91427">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75,2</w:t>
            </w:r>
          </w:p>
        </w:tc>
      </w:tr>
      <w:tr w:rsidR="002E0F4E" w:rsidRPr="00343AF3" w:rsidTr="00D91427">
        <w:trPr>
          <w:trHeight w:val="255"/>
        </w:trPr>
        <w:tc>
          <w:tcPr>
            <w:tcW w:w="2551" w:type="dxa"/>
            <w:tcBorders>
              <w:top w:val="nil"/>
              <w:left w:val="single" w:sz="8" w:space="0" w:color="auto"/>
              <w:bottom w:val="single" w:sz="4" w:space="0" w:color="auto"/>
              <w:right w:val="nil"/>
            </w:tcBorders>
            <w:shd w:val="clear" w:color="auto" w:fill="auto"/>
            <w:noWrap/>
            <w:vAlign w:val="bottom"/>
            <w:hideMark/>
          </w:tcPr>
          <w:p w:rsidR="002E0F4E" w:rsidRPr="00343AF3" w:rsidRDefault="002E0F4E" w:rsidP="00D91427">
            <w:pPr>
              <w:spacing w:line="240" w:lineRule="auto"/>
              <w:rPr>
                <w:rFonts w:ascii="Calibri" w:eastAsia="Times New Roman" w:hAnsi="Calibri" w:cs="Arial"/>
                <w:sz w:val="24"/>
                <w:szCs w:val="24"/>
                <w:lang w:eastAsia="fr-FR"/>
              </w:rPr>
            </w:pPr>
            <w:r w:rsidRPr="00343AF3">
              <w:rPr>
                <w:rFonts w:ascii="Calibri" w:eastAsia="Times New Roman" w:hAnsi="Calibri" w:cs="Arial"/>
                <w:sz w:val="24"/>
                <w:szCs w:val="24"/>
                <w:lang w:eastAsia="fr-FR"/>
              </w:rPr>
              <w:t>Ouvriers (y c. ouvriers agricoles)</w:t>
            </w:r>
          </w:p>
        </w:tc>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2E0F4E" w:rsidRPr="00343AF3" w:rsidRDefault="002E0F4E" w:rsidP="00D91427">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98,5</w:t>
            </w:r>
          </w:p>
        </w:tc>
        <w:tc>
          <w:tcPr>
            <w:tcW w:w="1629" w:type="dxa"/>
            <w:tcBorders>
              <w:top w:val="nil"/>
              <w:left w:val="nil"/>
              <w:bottom w:val="single" w:sz="4" w:space="0" w:color="auto"/>
              <w:right w:val="single" w:sz="4" w:space="0" w:color="auto"/>
            </w:tcBorders>
            <w:shd w:val="clear" w:color="auto" w:fill="auto"/>
            <w:hideMark/>
          </w:tcPr>
          <w:p w:rsidR="002E0F4E" w:rsidRPr="00343AF3" w:rsidRDefault="002E0F4E" w:rsidP="00D91427">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89,9</w:t>
            </w:r>
          </w:p>
        </w:tc>
        <w:tc>
          <w:tcPr>
            <w:tcW w:w="1276" w:type="dxa"/>
            <w:tcBorders>
              <w:top w:val="nil"/>
              <w:left w:val="nil"/>
              <w:bottom w:val="single" w:sz="4" w:space="0" w:color="auto"/>
              <w:right w:val="single" w:sz="4" w:space="0" w:color="auto"/>
            </w:tcBorders>
            <w:shd w:val="clear" w:color="auto" w:fill="auto"/>
            <w:noWrap/>
            <w:vAlign w:val="center"/>
            <w:hideMark/>
          </w:tcPr>
          <w:p w:rsidR="002E0F4E" w:rsidRPr="00343AF3" w:rsidRDefault="002E0F4E" w:rsidP="00D91427">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83,4</w:t>
            </w:r>
          </w:p>
        </w:tc>
        <w:tc>
          <w:tcPr>
            <w:tcW w:w="1559" w:type="dxa"/>
            <w:tcBorders>
              <w:top w:val="nil"/>
              <w:left w:val="nil"/>
              <w:bottom w:val="single" w:sz="4" w:space="0" w:color="auto"/>
              <w:right w:val="single" w:sz="4" w:space="0" w:color="auto"/>
            </w:tcBorders>
            <w:shd w:val="clear" w:color="auto" w:fill="auto"/>
            <w:noWrap/>
            <w:vAlign w:val="center"/>
            <w:hideMark/>
          </w:tcPr>
          <w:p w:rsidR="002E0F4E" w:rsidRPr="00343AF3" w:rsidRDefault="002E0F4E" w:rsidP="00D91427">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92,5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E0F4E" w:rsidRPr="00343AF3" w:rsidRDefault="002E0F4E" w:rsidP="00D91427">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77,5</w:t>
            </w:r>
          </w:p>
        </w:tc>
        <w:tc>
          <w:tcPr>
            <w:tcW w:w="1276" w:type="dxa"/>
            <w:tcBorders>
              <w:top w:val="nil"/>
              <w:left w:val="nil"/>
              <w:bottom w:val="single" w:sz="4" w:space="0" w:color="auto"/>
              <w:right w:val="single" w:sz="4" w:space="0" w:color="auto"/>
            </w:tcBorders>
            <w:shd w:val="clear" w:color="auto" w:fill="auto"/>
            <w:noWrap/>
            <w:vAlign w:val="center"/>
            <w:hideMark/>
          </w:tcPr>
          <w:p w:rsidR="002E0F4E" w:rsidRPr="00343AF3" w:rsidRDefault="002E0F4E" w:rsidP="00D91427">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71,2</w:t>
            </w:r>
          </w:p>
        </w:tc>
      </w:tr>
      <w:tr w:rsidR="002E0F4E" w:rsidRPr="00343AF3" w:rsidTr="00D91427">
        <w:trPr>
          <w:trHeight w:val="255"/>
        </w:trPr>
        <w:tc>
          <w:tcPr>
            <w:tcW w:w="2551" w:type="dxa"/>
            <w:tcBorders>
              <w:top w:val="nil"/>
              <w:left w:val="single" w:sz="8" w:space="0" w:color="auto"/>
              <w:bottom w:val="single" w:sz="4" w:space="0" w:color="auto"/>
              <w:right w:val="nil"/>
            </w:tcBorders>
            <w:shd w:val="clear" w:color="auto" w:fill="auto"/>
            <w:noWrap/>
            <w:vAlign w:val="bottom"/>
            <w:hideMark/>
          </w:tcPr>
          <w:p w:rsidR="002E0F4E" w:rsidRPr="00343AF3" w:rsidRDefault="002E0F4E" w:rsidP="00D91427">
            <w:pPr>
              <w:spacing w:line="240" w:lineRule="auto"/>
              <w:rPr>
                <w:rFonts w:ascii="Calibri" w:eastAsia="Times New Roman" w:hAnsi="Calibri" w:cs="Arial"/>
                <w:sz w:val="24"/>
                <w:szCs w:val="24"/>
                <w:lang w:eastAsia="fr-FR"/>
              </w:rPr>
            </w:pPr>
            <w:r w:rsidRPr="00343AF3">
              <w:rPr>
                <w:rFonts w:ascii="Calibri" w:eastAsia="Times New Roman" w:hAnsi="Calibri" w:cs="Arial"/>
                <w:sz w:val="24"/>
                <w:szCs w:val="24"/>
                <w:lang w:eastAsia="fr-FR"/>
              </w:rPr>
              <w:t>Retraités</w:t>
            </w:r>
          </w:p>
        </w:tc>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2E0F4E" w:rsidRPr="00343AF3" w:rsidRDefault="002E0F4E" w:rsidP="00D91427">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99,3</w:t>
            </w:r>
          </w:p>
        </w:tc>
        <w:tc>
          <w:tcPr>
            <w:tcW w:w="1629" w:type="dxa"/>
            <w:tcBorders>
              <w:top w:val="nil"/>
              <w:left w:val="nil"/>
              <w:bottom w:val="single" w:sz="4" w:space="0" w:color="auto"/>
              <w:right w:val="single" w:sz="4" w:space="0" w:color="auto"/>
            </w:tcBorders>
            <w:shd w:val="clear" w:color="auto" w:fill="auto"/>
            <w:hideMark/>
          </w:tcPr>
          <w:p w:rsidR="002E0F4E" w:rsidRPr="00343AF3" w:rsidRDefault="002E0F4E" w:rsidP="00D91427">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73,0</w:t>
            </w:r>
          </w:p>
        </w:tc>
        <w:tc>
          <w:tcPr>
            <w:tcW w:w="1276" w:type="dxa"/>
            <w:tcBorders>
              <w:top w:val="nil"/>
              <w:left w:val="nil"/>
              <w:bottom w:val="single" w:sz="4" w:space="0" w:color="auto"/>
              <w:right w:val="single" w:sz="4" w:space="0" w:color="auto"/>
            </w:tcBorders>
            <w:shd w:val="clear" w:color="auto" w:fill="auto"/>
            <w:noWrap/>
            <w:vAlign w:val="center"/>
            <w:hideMark/>
          </w:tcPr>
          <w:p w:rsidR="002E0F4E" w:rsidRPr="00343AF3" w:rsidRDefault="002E0F4E" w:rsidP="00D91427">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94,9</w:t>
            </w:r>
          </w:p>
        </w:tc>
        <w:tc>
          <w:tcPr>
            <w:tcW w:w="1559" w:type="dxa"/>
            <w:tcBorders>
              <w:top w:val="nil"/>
              <w:left w:val="nil"/>
              <w:bottom w:val="single" w:sz="4" w:space="0" w:color="auto"/>
              <w:right w:val="single" w:sz="4" w:space="0" w:color="auto"/>
            </w:tcBorders>
            <w:shd w:val="clear" w:color="auto" w:fill="auto"/>
            <w:noWrap/>
            <w:vAlign w:val="center"/>
            <w:hideMark/>
          </w:tcPr>
          <w:p w:rsidR="002E0F4E" w:rsidRPr="00343AF3" w:rsidRDefault="002E0F4E" w:rsidP="00D91427">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66,6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E0F4E" w:rsidRPr="00343AF3" w:rsidRDefault="002E0F4E" w:rsidP="00D91427">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40,6</w:t>
            </w:r>
          </w:p>
        </w:tc>
        <w:tc>
          <w:tcPr>
            <w:tcW w:w="1276" w:type="dxa"/>
            <w:tcBorders>
              <w:top w:val="nil"/>
              <w:left w:val="nil"/>
              <w:bottom w:val="single" w:sz="4" w:space="0" w:color="auto"/>
              <w:right w:val="single" w:sz="4" w:space="0" w:color="auto"/>
            </w:tcBorders>
            <w:shd w:val="clear" w:color="auto" w:fill="auto"/>
            <w:noWrap/>
            <w:vAlign w:val="center"/>
            <w:hideMark/>
          </w:tcPr>
          <w:p w:rsidR="002E0F4E" w:rsidRPr="00343AF3" w:rsidRDefault="002E0F4E" w:rsidP="00D91427">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37,2</w:t>
            </w:r>
          </w:p>
        </w:tc>
      </w:tr>
      <w:tr w:rsidR="002E0F4E" w:rsidRPr="00343AF3" w:rsidTr="00D91427">
        <w:trPr>
          <w:trHeight w:val="270"/>
        </w:trPr>
        <w:tc>
          <w:tcPr>
            <w:tcW w:w="2551" w:type="dxa"/>
            <w:tcBorders>
              <w:top w:val="nil"/>
              <w:left w:val="single" w:sz="8" w:space="0" w:color="auto"/>
              <w:bottom w:val="single" w:sz="8" w:space="0" w:color="auto"/>
              <w:right w:val="nil"/>
            </w:tcBorders>
            <w:shd w:val="clear" w:color="auto" w:fill="auto"/>
            <w:noWrap/>
            <w:vAlign w:val="bottom"/>
            <w:hideMark/>
          </w:tcPr>
          <w:p w:rsidR="002E0F4E" w:rsidRPr="00343AF3" w:rsidRDefault="002E0F4E" w:rsidP="00D91427">
            <w:pPr>
              <w:spacing w:line="240" w:lineRule="auto"/>
              <w:rPr>
                <w:rFonts w:ascii="Calibri" w:eastAsia="Times New Roman" w:hAnsi="Calibri" w:cs="Arial"/>
                <w:sz w:val="24"/>
                <w:szCs w:val="24"/>
                <w:lang w:eastAsia="fr-FR"/>
              </w:rPr>
            </w:pPr>
            <w:r w:rsidRPr="00343AF3">
              <w:rPr>
                <w:rFonts w:ascii="Calibri" w:eastAsia="Times New Roman" w:hAnsi="Calibri" w:cs="Arial"/>
                <w:sz w:val="24"/>
                <w:szCs w:val="24"/>
                <w:lang w:eastAsia="fr-FR"/>
              </w:rPr>
              <w:t>Autres inactifs</w:t>
            </w:r>
          </w:p>
        </w:tc>
        <w:tc>
          <w:tcPr>
            <w:tcW w:w="1206" w:type="dxa"/>
            <w:tcBorders>
              <w:top w:val="nil"/>
              <w:left w:val="single" w:sz="4" w:space="0" w:color="auto"/>
              <w:bottom w:val="single" w:sz="8" w:space="0" w:color="auto"/>
              <w:right w:val="single" w:sz="4" w:space="0" w:color="auto"/>
            </w:tcBorders>
            <w:shd w:val="clear" w:color="auto" w:fill="auto"/>
            <w:noWrap/>
            <w:vAlign w:val="bottom"/>
            <w:hideMark/>
          </w:tcPr>
          <w:p w:rsidR="002E0F4E" w:rsidRPr="00343AF3" w:rsidRDefault="002E0F4E" w:rsidP="00D91427">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97,2</w:t>
            </w:r>
          </w:p>
        </w:tc>
        <w:tc>
          <w:tcPr>
            <w:tcW w:w="1629" w:type="dxa"/>
            <w:tcBorders>
              <w:top w:val="nil"/>
              <w:left w:val="nil"/>
              <w:bottom w:val="single" w:sz="8" w:space="0" w:color="auto"/>
              <w:right w:val="single" w:sz="4" w:space="0" w:color="auto"/>
            </w:tcBorders>
            <w:shd w:val="clear" w:color="auto" w:fill="auto"/>
            <w:hideMark/>
          </w:tcPr>
          <w:p w:rsidR="002E0F4E" w:rsidRPr="00343AF3" w:rsidRDefault="002E0F4E" w:rsidP="00D91427">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68,6</w:t>
            </w:r>
          </w:p>
        </w:tc>
        <w:tc>
          <w:tcPr>
            <w:tcW w:w="1276" w:type="dxa"/>
            <w:tcBorders>
              <w:top w:val="nil"/>
              <w:left w:val="nil"/>
              <w:bottom w:val="nil"/>
              <w:right w:val="single" w:sz="4" w:space="0" w:color="auto"/>
            </w:tcBorders>
            <w:shd w:val="clear" w:color="auto" w:fill="auto"/>
            <w:noWrap/>
            <w:vAlign w:val="center"/>
            <w:hideMark/>
          </w:tcPr>
          <w:p w:rsidR="002E0F4E" w:rsidRPr="00343AF3" w:rsidRDefault="002E0F4E" w:rsidP="00D91427">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83,3</w:t>
            </w:r>
          </w:p>
        </w:tc>
        <w:tc>
          <w:tcPr>
            <w:tcW w:w="1559" w:type="dxa"/>
            <w:tcBorders>
              <w:top w:val="nil"/>
              <w:left w:val="nil"/>
              <w:bottom w:val="nil"/>
              <w:right w:val="single" w:sz="4" w:space="0" w:color="auto"/>
            </w:tcBorders>
            <w:shd w:val="clear" w:color="auto" w:fill="auto"/>
            <w:noWrap/>
            <w:vAlign w:val="center"/>
            <w:hideMark/>
          </w:tcPr>
          <w:p w:rsidR="002E0F4E" w:rsidRPr="00343AF3" w:rsidRDefault="002E0F4E" w:rsidP="00D91427">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73,5</w:t>
            </w:r>
          </w:p>
        </w:tc>
        <w:tc>
          <w:tcPr>
            <w:tcW w:w="1276" w:type="dxa"/>
            <w:gridSpan w:val="2"/>
            <w:tcBorders>
              <w:top w:val="nil"/>
              <w:left w:val="nil"/>
              <w:bottom w:val="nil"/>
              <w:right w:val="single" w:sz="4" w:space="0" w:color="auto"/>
            </w:tcBorders>
            <w:shd w:val="clear" w:color="auto" w:fill="auto"/>
            <w:noWrap/>
            <w:vAlign w:val="center"/>
            <w:hideMark/>
          </w:tcPr>
          <w:p w:rsidR="002E0F4E" w:rsidRPr="00343AF3" w:rsidRDefault="002E0F4E" w:rsidP="00D91427">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49,7</w:t>
            </w:r>
          </w:p>
        </w:tc>
        <w:tc>
          <w:tcPr>
            <w:tcW w:w="1276" w:type="dxa"/>
            <w:tcBorders>
              <w:top w:val="nil"/>
              <w:left w:val="nil"/>
              <w:bottom w:val="nil"/>
              <w:right w:val="single" w:sz="4" w:space="0" w:color="auto"/>
            </w:tcBorders>
            <w:shd w:val="clear" w:color="auto" w:fill="auto"/>
            <w:noWrap/>
            <w:vAlign w:val="center"/>
            <w:hideMark/>
          </w:tcPr>
          <w:p w:rsidR="002E0F4E" w:rsidRPr="00343AF3" w:rsidRDefault="002E0F4E" w:rsidP="00D91427">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44,2</w:t>
            </w:r>
          </w:p>
        </w:tc>
      </w:tr>
      <w:tr w:rsidR="002E0F4E" w:rsidRPr="00343AF3" w:rsidTr="00D91427">
        <w:trPr>
          <w:trHeight w:val="270"/>
        </w:trPr>
        <w:tc>
          <w:tcPr>
            <w:tcW w:w="2551" w:type="dxa"/>
            <w:tcBorders>
              <w:top w:val="nil"/>
              <w:left w:val="single" w:sz="8" w:space="0" w:color="auto"/>
              <w:bottom w:val="single" w:sz="8" w:space="0" w:color="auto"/>
              <w:right w:val="nil"/>
            </w:tcBorders>
            <w:shd w:val="clear" w:color="auto" w:fill="auto"/>
            <w:noWrap/>
            <w:vAlign w:val="bottom"/>
            <w:hideMark/>
          </w:tcPr>
          <w:p w:rsidR="002E0F4E" w:rsidRPr="00343AF3" w:rsidRDefault="002E0F4E" w:rsidP="00D91427">
            <w:pPr>
              <w:spacing w:line="240" w:lineRule="auto"/>
              <w:rPr>
                <w:rFonts w:ascii="Calibri" w:eastAsia="Times New Roman" w:hAnsi="Calibri" w:cs="Arial"/>
                <w:sz w:val="24"/>
                <w:szCs w:val="24"/>
                <w:lang w:eastAsia="fr-FR"/>
              </w:rPr>
            </w:pPr>
            <w:bookmarkStart w:id="15" w:name="RANGE!A12:G12"/>
            <w:r w:rsidRPr="00343AF3">
              <w:rPr>
                <w:rFonts w:ascii="Calibri" w:eastAsia="Times New Roman" w:hAnsi="Calibri" w:cs="Arial"/>
                <w:sz w:val="24"/>
                <w:szCs w:val="24"/>
                <w:lang w:eastAsia="fr-FR"/>
              </w:rPr>
              <w:t xml:space="preserve">Ensemble </w:t>
            </w:r>
            <w:bookmarkEnd w:id="15"/>
          </w:p>
        </w:tc>
        <w:tc>
          <w:tcPr>
            <w:tcW w:w="1206" w:type="dxa"/>
            <w:tcBorders>
              <w:top w:val="nil"/>
              <w:left w:val="single" w:sz="8" w:space="0" w:color="auto"/>
              <w:bottom w:val="single" w:sz="8" w:space="0" w:color="auto"/>
              <w:right w:val="single" w:sz="4" w:space="0" w:color="auto"/>
            </w:tcBorders>
            <w:shd w:val="clear" w:color="auto" w:fill="auto"/>
            <w:noWrap/>
            <w:vAlign w:val="bottom"/>
            <w:hideMark/>
          </w:tcPr>
          <w:p w:rsidR="002E0F4E" w:rsidRPr="00343AF3" w:rsidRDefault="002E0F4E" w:rsidP="00D91427">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97,8</w:t>
            </w:r>
          </w:p>
        </w:tc>
        <w:tc>
          <w:tcPr>
            <w:tcW w:w="1629" w:type="dxa"/>
            <w:tcBorders>
              <w:top w:val="nil"/>
              <w:left w:val="nil"/>
              <w:bottom w:val="single" w:sz="8" w:space="0" w:color="auto"/>
              <w:right w:val="single" w:sz="4" w:space="0" w:color="auto"/>
            </w:tcBorders>
            <w:shd w:val="clear" w:color="auto" w:fill="auto"/>
            <w:noWrap/>
            <w:vAlign w:val="bottom"/>
            <w:hideMark/>
          </w:tcPr>
          <w:p w:rsidR="002E0F4E" w:rsidRPr="00343AF3" w:rsidRDefault="002E0F4E" w:rsidP="00D91427">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82,1</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rsidR="002E0F4E" w:rsidRPr="00343AF3" w:rsidRDefault="002E0F4E" w:rsidP="00D91427">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89,3</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rsidR="002E0F4E" w:rsidRPr="00343AF3" w:rsidRDefault="002E0F4E" w:rsidP="00D91427">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84,5</w:t>
            </w:r>
          </w:p>
        </w:tc>
        <w:tc>
          <w:tcPr>
            <w:tcW w:w="1276" w:type="dxa"/>
            <w:gridSpan w:val="2"/>
            <w:tcBorders>
              <w:top w:val="single" w:sz="8" w:space="0" w:color="auto"/>
              <w:left w:val="nil"/>
              <w:bottom w:val="single" w:sz="8" w:space="0" w:color="auto"/>
              <w:right w:val="single" w:sz="4" w:space="0" w:color="auto"/>
            </w:tcBorders>
            <w:shd w:val="clear" w:color="auto" w:fill="auto"/>
            <w:noWrap/>
            <w:vAlign w:val="center"/>
            <w:hideMark/>
          </w:tcPr>
          <w:p w:rsidR="002E0F4E" w:rsidRPr="00343AF3" w:rsidRDefault="002E0F4E" w:rsidP="00D91427">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69,7</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rsidR="002E0F4E" w:rsidRPr="00343AF3" w:rsidRDefault="002E0F4E" w:rsidP="00D91427">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64,6</w:t>
            </w:r>
          </w:p>
        </w:tc>
      </w:tr>
      <w:tr w:rsidR="000A3AAF" w:rsidRPr="00343AF3" w:rsidTr="000A3AAF">
        <w:trPr>
          <w:trHeight w:val="255"/>
        </w:trPr>
        <w:tc>
          <w:tcPr>
            <w:tcW w:w="8710" w:type="dxa"/>
            <w:gridSpan w:val="6"/>
            <w:tcBorders>
              <w:top w:val="nil"/>
              <w:left w:val="nil"/>
              <w:bottom w:val="nil"/>
              <w:right w:val="nil"/>
            </w:tcBorders>
            <w:shd w:val="clear" w:color="auto" w:fill="auto"/>
            <w:noWrap/>
            <w:vAlign w:val="bottom"/>
            <w:hideMark/>
          </w:tcPr>
          <w:p w:rsidR="000A3AAF" w:rsidRDefault="000A3AAF" w:rsidP="001B5B45">
            <w:pPr>
              <w:spacing w:line="240" w:lineRule="auto"/>
              <w:rPr>
                <w:rFonts w:ascii="Calibri" w:eastAsia="Times New Roman" w:hAnsi="Calibri" w:cs="Arial"/>
                <w:i/>
                <w:sz w:val="24"/>
                <w:szCs w:val="24"/>
                <w:lang w:eastAsia="fr-FR"/>
              </w:rPr>
            </w:pPr>
          </w:p>
          <w:p w:rsidR="000A3AAF" w:rsidRPr="00343AF3" w:rsidRDefault="000A3AAF" w:rsidP="001B5B45">
            <w:pPr>
              <w:spacing w:line="240" w:lineRule="auto"/>
              <w:rPr>
                <w:rFonts w:ascii="Calibri" w:eastAsia="Times New Roman" w:hAnsi="Calibri" w:cs="Arial"/>
                <w:sz w:val="24"/>
                <w:szCs w:val="24"/>
                <w:lang w:eastAsia="fr-FR"/>
              </w:rPr>
            </w:pPr>
            <w:r w:rsidRPr="00D91427">
              <w:rPr>
                <w:rFonts w:ascii="Calibri" w:eastAsia="Times New Roman" w:hAnsi="Calibri" w:cs="Arial"/>
                <w:i/>
                <w:sz w:val="24"/>
                <w:szCs w:val="24"/>
                <w:lang w:eastAsia="fr-FR"/>
              </w:rPr>
              <w:t>Champ</w:t>
            </w:r>
            <w:r w:rsidRPr="00343AF3">
              <w:rPr>
                <w:rFonts w:ascii="Calibri" w:eastAsia="Times New Roman" w:hAnsi="Calibri" w:cs="Arial"/>
                <w:sz w:val="24"/>
                <w:szCs w:val="24"/>
                <w:lang w:eastAsia="fr-FR"/>
              </w:rPr>
              <w:t xml:space="preserve"> :</w:t>
            </w:r>
            <w:r>
              <w:rPr>
                <w:rFonts w:ascii="Calibri" w:eastAsia="Times New Roman" w:hAnsi="Calibri" w:cs="Arial"/>
                <w:sz w:val="24"/>
                <w:szCs w:val="24"/>
                <w:lang w:eastAsia="fr-FR"/>
              </w:rPr>
              <w:t xml:space="preserve"> ensemble des ménages en France métropolitaine</w:t>
            </w:r>
          </w:p>
        </w:tc>
        <w:tc>
          <w:tcPr>
            <w:tcW w:w="2063" w:type="dxa"/>
            <w:gridSpan w:val="2"/>
            <w:tcBorders>
              <w:top w:val="nil"/>
              <w:left w:val="nil"/>
              <w:bottom w:val="nil"/>
              <w:right w:val="nil"/>
            </w:tcBorders>
            <w:shd w:val="clear" w:color="auto" w:fill="auto"/>
            <w:noWrap/>
            <w:vAlign w:val="center"/>
            <w:hideMark/>
          </w:tcPr>
          <w:p w:rsidR="000A3AAF" w:rsidRPr="00343AF3" w:rsidRDefault="000A3AAF" w:rsidP="001B5B45">
            <w:pPr>
              <w:spacing w:line="240" w:lineRule="auto"/>
              <w:jc w:val="right"/>
              <w:rPr>
                <w:rFonts w:ascii="Calibri" w:eastAsia="Times New Roman" w:hAnsi="Calibri" w:cs="Arial"/>
                <w:sz w:val="24"/>
                <w:szCs w:val="24"/>
                <w:lang w:eastAsia="fr-FR"/>
              </w:rPr>
            </w:pPr>
          </w:p>
        </w:tc>
      </w:tr>
      <w:tr w:rsidR="000A3AAF" w:rsidRPr="00343AF3" w:rsidTr="000A3AAF">
        <w:trPr>
          <w:trHeight w:val="255"/>
        </w:trPr>
        <w:tc>
          <w:tcPr>
            <w:tcW w:w="10773" w:type="dxa"/>
            <w:gridSpan w:val="8"/>
            <w:tcBorders>
              <w:top w:val="nil"/>
              <w:left w:val="nil"/>
              <w:bottom w:val="nil"/>
              <w:right w:val="nil"/>
            </w:tcBorders>
            <w:shd w:val="clear" w:color="auto" w:fill="auto"/>
            <w:noWrap/>
            <w:vAlign w:val="bottom"/>
            <w:hideMark/>
          </w:tcPr>
          <w:p w:rsidR="000A3AAF" w:rsidRPr="00343AF3" w:rsidRDefault="000A3AAF" w:rsidP="001B5B45">
            <w:pPr>
              <w:spacing w:line="240" w:lineRule="auto"/>
              <w:rPr>
                <w:rFonts w:ascii="Calibri" w:eastAsia="Times New Roman" w:hAnsi="Calibri" w:cs="Arial"/>
                <w:sz w:val="24"/>
                <w:szCs w:val="24"/>
                <w:lang w:eastAsia="fr-FR"/>
              </w:rPr>
            </w:pPr>
            <w:r w:rsidRPr="00D91427">
              <w:rPr>
                <w:rFonts w:ascii="Calibri" w:eastAsia="Times New Roman" w:hAnsi="Calibri" w:cs="Arial"/>
                <w:i/>
                <w:sz w:val="24"/>
                <w:szCs w:val="24"/>
                <w:lang w:eastAsia="fr-FR"/>
              </w:rPr>
              <w:t>Source</w:t>
            </w:r>
            <w:r w:rsidRPr="00343AF3">
              <w:rPr>
                <w:rFonts w:ascii="Calibri" w:eastAsia="Times New Roman" w:hAnsi="Calibri" w:cs="Arial"/>
                <w:sz w:val="24"/>
                <w:szCs w:val="24"/>
                <w:lang w:eastAsia="fr-FR"/>
              </w:rPr>
              <w:t xml:space="preserve"> </w:t>
            </w:r>
            <w:proofErr w:type="gramStart"/>
            <w:r w:rsidRPr="00343AF3">
              <w:rPr>
                <w:rFonts w:ascii="Calibri" w:eastAsia="Times New Roman" w:hAnsi="Calibri" w:cs="Arial"/>
                <w:sz w:val="24"/>
                <w:szCs w:val="24"/>
                <w:lang w:eastAsia="fr-FR"/>
              </w:rPr>
              <w:t>:  Insee</w:t>
            </w:r>
            <w:proofErr w:type="gramEnd"/>
            <w:r w:rsidRPr="00343AF3">
              <w:rPr>
                <w:rFonts w:ascii="Calibri" w:eastAsia="Times New Roman" w:hAnsi="Calibri" w:cs="Arial"/>
                <w:sz w:val="24"/>
                <w:szCs w:val="24"/>
                <w:lang w:eastAsia="fr-FR"/>
              </w:rPr>
              <w:t xml:space="preserve">, statistiques sur les </w:t>
            </w:r>
            <w:r>
              <w:rPr>
                <w:rFonts w:ascii="Calibri" w:eastAsia="Times New Roman" w:hAnsi="Calibri" w:cs="Arial"/>
                <w:sz w:val="24"/>
                <w:szCs w:val="24"/>
                <w:lang w:eastAsia="fr-FR"/>
              </w:rPr>
              <w:t>ressources et les conditions de vie (SRCV-SILC 2010)</w:t>
            </w:r>
          </w:p>
        </w:tc>
      </w:tr>
    </w:tbl>
    <w:p w:rsidR="003C52D4" w:rsidRDefault="003C52D4">
      <w:pPr>
        <w:rPr>
          <w:rFonts w:ascii="Calibri" w:eastAsia="Times New Roman" w:hAnsi="Calibri" w:cs="Arial"/>
          <w:sz w:val="24"/>
          <w:szCs w:val="24"/>
          <w:lang w:eastAsia="fr-FR"/>
        </w:rPr>
      </w:pPr>
      <w:r>
        <w:rPr>
          <w:rFonts w:ascii="Calibri" w:eastAsia="Times New Roman" w:hAnsi="Calibri" w:cs="Arial"/>
          <w:sz w:val="24"/>
          <w:szCs w:val="24"/>
          <w:lang w:eastAsia="fr-FR"/>
        </w:rPr>
        <w:br w:type="page"/>
      </w:r>
    </w:p>
    <w:p w:rsidR="001A0C05" w:rsidRPr="008C3D4B" w:rsidRDefault="00B41A82" w:rsidP="001A0C05">
      <w:pPr>
        <w:spacing w:before="100" w:beforeAutospacing="1" w:after="100" w:afterAutospacing="1" w:line="240" w:lineRule="auto"/>
        <w:rPr>
          <w:rFonts w:ascii="Arial" w:eastAsia="Times New Roman" w:hAnsi="Arial" w:cs="Times New Roman"/>
          <w:b/>
          <w:color w:val="CC0000"/>
          <w:sz w:val="26"/>
          <w:szCs w:val="24"/>
          <w:lang w:eastAsia="fr-FR"/>
        </w:rPr>
      </w:pPr>
      <w:r>
        <w:rPr>
          <w:rFonts w:ascii="Arial" w:eastAsia="Times New Roman" w:hAnsi="Arial" w:cs="Times New Roman"/>
          <w:b/>
          <w:color w:val="CC0000"/>
          <w:sz w:val="26"/>
          <w:szCs w:val="24"/>
          <w:lang w:eastAsia="fr-FR"/>
        </w:rPr>
        <w:lastRenderedPageBreak/>
        <w:t>I</w:t>
      </w:r>
      <w:r w:rsidR="001B1D41" w:rsidRPr="008C3D4B">
        <w:rPr>
          <w:rFonts w:ascii="Arial" w:eastAsia="Times New Roman" w:hAnsi="Arial" w:cs="Times New Roman"/>
          <w:b/>
          <w:color w:val="CC0000"/>
          <w:sz w:val="26"/>
          <w:szCs w:val="24"/>
          <w:lang w:eastAsia="fr-FR"/>
        </w:rPr>
        <w:t xml:space="preserve">I - </w:t>
      </w:r>
      <w:r w:rsidR="001A0C05" w:rsidRPr="008C3D4B">
        <w:rPr>
          <w:rFonts w:ascii="Arial" w:eastAsia="Times New Roman" w:hAnsi="Arial" w:cs="Times New Roman"/>
          <w:b/>
          <w:color w:val="CC0000"/>
          <w:sz w:val="26"/>
          <w:szCs w:val="24"/>
          <w:lang w:eastAsia="fr-FR"/>
        </w:rPr>
        <w:t xml:space="preserve">L'épargne </w:t>
      </w:r>
    </w:p>
    <w:p w:rsidR="001A0C05" w:rsidRPr="00343AF3" w:rsidRDefault="001A0C05" w:rsidP="00674E63">
      <w:pPr>
        <w:spacing w:before="100" w:beforeAutospacing="1" w:after="100" w:afterAutospacing="1" w:line="240" w:lineRule="auto"/>
        <w:jc w:val="both"/>
        <w:rPr>
          <w:rFonts w:ascii="Calibri" w:eastAsia="Times New Roman" w:hAnsi="Calibri" w:cs="Arial"/>
          <w:sz w:val="24"/>
          <w:szCs w:val="24"/>
          <w:lang w:eastAsia="fr-FR"/>
        </w:rPr>
      </w:pPr>
      <w:r w:rsidRPr="00343AF3">
        <w:rPr>
          <w:rFonts w:ascii="Calibri" w:eastAsia="Times New Roman" w:hAnsi="Calibri" w:cs="Arial"/>
          <w:sz w:val="24"/>
          <w:szCs w:val="24"/>
          <w:lang w:eastAsia="fr-FR"/>
        </w:rPr>
        <w:t xml:space="preserve">Fraction du revenu non consommé, l'épargne a une fonction économique. En fournissant les capitaux nécessaires aux entreprises pour leurs investissements, elle contribue à la croissance et à la modernisation de l'outil productif. </w:t>
      </w:r>
    </w:p>
    <w:p w:rsidR="001A0C05" w:rsidRPr="00343AF3" w:rsidRDefault="001A0C05" w:rsidP="00674E63">
      <w:pPr>
        <w:spacing w:before="100" w:beforeAutospacing="1" w:after="100" w:afterAutospacing="1" w:line="240" w:lineRule="auto"/>
        <w:jc w:val="both"/>
        <w:rPr>
          <w:rFonts w:ascii="Calibri" w:eastAsia="Times New Roman" w:hAnsi="Calibri" w:cs="Arial"/>
          <w:sz w:val="24"/>
          <w:szCs w:val="24"/>
          <w:lang w:eastAsia="fr-FR"/>
        </w:rPr>
      </w:pPr>
      <w:r w:rsidRPr="00343AF3">
        <w:rPr>
          <w:rFonts w:ascii="Calibri" w:eastAsia="Times New Roman" w:hAnsi="Calibri" w:cs="Arial"/>
          <w:sz w:val="24"/>
          <w:szCs w:val="24"/>
          <w:lang w:eastAsia="fr-FR"/>
        </w:rPr>
        <w:t xml:space="preserve">L'épargne réunit les agents à capacité excédentaire de financement (les ménages) et les agents à besoins structurels de financement (les entreprises). </w:t>
      </w:r>
    </w:p>
    <w:p w:rsidR="001A0C05" w:rsidRPr="003C52D4" w:rsidRDefault="001A0C05" w:rsidP="00674E63">
      <w:pPr>
        <w:spacing w:before="100" w:beforeAutospacing="1" w:after="100" w:afterAutospacing="1" w:line="240" w:lineRule="auto"/>
        <w:jc w:val="both"/>
        <w:rPr>
          <w:rFonts w:ascii="Arial" w:eastAsia="Times New Roman" w:hAnsi="Arial" w:cs="Arial"/>
          <w:b/>
          <w:color w:val="C00000"/>
          <w:lang w:eastAsia="fr-FR"/>
        </w:rPr>
      </w:pPr>
      <w:r w:rsidRPr="003C52D4">
        <w:rPr>
          <w:rFonts w:ascii="Arial" w:eastAsia="Times New Roman" w:hAnsi="Arial" w:cs="Arial"/>
          <w:b/>
          <w:color w:val="C00000"/>
          <w:lang w:eastAsia="fr-FR"/>
        </w:rPr>
        <w:t>Les motifs de l'épargne</w:t>
      </w:r>
    </w:p>
    <w:p w:rsidR="001A0C05" w:rsidRPr="00343AF3" w:rsidRDefault="001A0C05" w:rsidP="00674E63">
      <w:pPr>
        <w:spacing w:before="100" w:beforeAutospacing="1" w:after="100" w:afterAutospacing="1" w:line="240" w:lineRule="auto"/>
        <w:jc w:val="both"/>
        <w:rPr>
          <w:rFonts w:ascii="Calibri" w:eastAsia="Times New Roman" w:hAnsi="Calibri" w:cs="Arial"/>
          <w:sz w:val="24"/>
          <w:szCs w:val="24"/>
          <w:lang w:eastAsia="fr-FR"/>
        </w:rPr>
      </w:pPr>
      <w:r w:rsidRPr="00343AF3">
        <w:rPr>
          <w:rFonts w:ascii="Calibri" w:eastAsia="Times New Roman" w:hAnsi="Calibri" w:cs="Arial"/>
          <w:sz w:val="24"/>
          <w:szCs w:val="24"/>
          <w:lang w:eastAsia="fr-FR"/>
        </w:rPr>
        <w:t xml:space="preserve">On distingue trois motifs essentiels : </w:t>
      </w:r>
    </w:p>
    <w:p w:rsidR="009F7D87" w:rsidRDefault="001A0C05" w:rsidP="00C4796B">
      <w:pPr>
        <w:pStyle w:val="Paragraphedeliste"/>
        <w:numPr>
          <w:ilvl w:val="0"/>
          <w:numId w:val="8"/>
        </w:numPr>
        <w:spacing w:before="100" w:beforeAutospacing="1" w:after="100" w:afterAutospacing="1" w:line="240" w:lineRule="auto"/>
        <w:jc w:val="both"/>
        <w:rPr>
          <w:rFonts w:ascii="Calibri" w:eastAsia="Times New Roman" w:hAnsi="Calibri" w:cs="Arial"/>
          <w:sz w:val="24"/>
          <w:szCs w:val="24"/>
          <w:lang w:eastAsia="fr-FR"/>
        </w:rPr>
      </w:pPr>
      <w:r w:rsidRPr="00C4796B">
        <w:rPr>
          <w:rFonts w:ascii="Calibri" w:eastAsia="Times New Roman" w:hAnsi="Calibri" w:cs="Arial"/>
          <w:sz w:val="24"/>
          <w:szCs w:val="24"/>
          <w:lang w:eastAsia="fr-FR"/>
        </w:rPr>
        <w:t xml:space="preserve">L'épargne </w:t>
      </w:r>
      <w:r w:rsidR="003758CE" w:rsidRPr="00C4796B">
        <w:rPr>
          <w:rFonts w:ascii="Calibri" w:eastAsia="Times New Roman" w:hAnsi="Calibri" w:cs="Arial"/>
          <w:sz w:val="24"/>
          <w:szCs w:val="24"/>
          <w:lang w:eastAsia="fr-FR"/>
        </w:rPr>
        <w:t>d’accumulation vise à se constituer un patrimoine personnel (acquisition de biens immobiliers : ex. la résidence principale) ou à financer un projet d’entreprise. Elle répond directement au désir d’augmenter son revenu futur. Soit à long terme, notamment au moment de la retraite lorsque les revenus d’activité seront taris, soit éventuellement  plus court terme en cherchant à réaliser des plus-values spéculatives liées aux fluctuations de cours,</w:t>
      </w:r>
      <w:r w:rsidR="009F7D87" w:rsidRPr="00C4796B">
        <w:rPr>
          <w:rFonts w:ascii="Calibri" w:eastAsia="Times New Roman" w:hAnsi="Calibri" w:cs="Arial"/>
          <w:sz w:val="24"/>
          <w:szCs w:val="24"/>
          <w:lang w:eastAsia="fr-FR"/>
        </w:rPr>
        <w:t xml:space="preserve"> de taux d’intérêt ou de change</w:t>
      </w:r>
      <w:r w:rsidR="00C90FB7">
        <w:rPr>
          <w:rFonts w:ascii="Calibri" w:eastAsia="Times New Roman" w:hAnsi="Calibri" w:cs="Arial"/>
          <w:sz w:val="24"/>
          <w:szCs w:val="24"/>
          <w:lang w:eastAsia="fr-FR"/>
        </w:rPr>
        <w:t>.</w:t>
      </w:r>
    </w:p>
    <w:p w:rsidR="00C4796B" w:rsidRPr="00C4796B" w:rsidRDefault="00C4796B" w:rsidP="00C4796B">
      <w:pPr>
        <w:pStyle w:val="Paragraphedeliste"/>
        <w:spacing w:before="100" w:beforeAutospacing="1" w:after="100" w:afterAutospacing="1" w:line="240" w:lineRule="auto"/>
        <w:jc w:val="both"/>
        <w:rPr>
          <w:rFonts w:ascii="Calibri" w:eastAsia="Times New Roman" w:hAnsi="Calibri" w:cs="Arial"/>
          <w:sz w:val="24"/>
          <w:szCs w:val="24"/>
          <w:lang w:eastAsia="fr-FR"/>
        </w:rPr>
      </w:pPr>
    </w:p>
    <w:p w:rsidR="00B41CD0" w:rsidRDefault="001A0C05" w:rsidP="00B41CD0">
      <w:pPr>
        <w:pStyle w:val="Paragraphedeliste"/>
        <w:numPr>
          <w:ilvl w:val="0"/>
          <w:numId w:val="8"/>
        </w:numPr>
        <w:spacing w:before="100" w:beforeAutospacing="1" w:after="100" w:afterAutospacing="1" w:line="240" w:lineRule="auto"/>
        <w:jc w:val="both"/>
        <w:rPr>
          <w:rFonts w:ascii="Calibri" w:eastAsia="Times New Roman" w:hAnsi="Calibri" w:cs="Arial"/>
          <w:sz w:val="24"/>
          <w:szCs w:val="24"/>
          <w:lang w:eastAsia="fr-FR"/>
        </w:rPr>
      </w:pPr>
      <w:r w:rsidRPr="00C4796B">
        <w:rPr>
          <w:rFonts w:ascii="Calibri" w:eastAsia="Times New Roman" w:hAnsi="Calibri" w:cs="Arial"/>
          <w:sz w:val="24"/>
          <w:szCs w:val="24"/>
          <w:lang w:eastAsia="fr-FR"/>
        </w:rPr>
        <w:t xml:space="preserve">L'épargne de précaution </w:t>
      </w:r>
      <w:r w:rsidR="00972912" w:rsidRPr="00C4796B">
        <w:rPr>
          <w:rFonts w:ascii="Calibri" w:eastAsia="Times New Roman" w:hAnsi="Calibri" w:cs="Arial"/>
          <w:sz w:val="24"/>
          <w:szCs w:val="24"/>
          <w:lang w:eastAsia="fr-FR"/>
        </w:rPr>
        <w:t xml:space="preserve">vise à faire face à l’incertitude du futur </w:t>
      </w:r>
      <w:r w:rsidRPr="00C4796B">
        <w:rPr>
          <w:rFonts w:ascii="Calibri" w:eastAsia="Times New Roman" w:hAnsi="Calibri" w:cs="Arial"/>
          <w:sz w:val="24"/>
          <w:szCs w:val="24"/>
          <w:lang w:eastAsia="fr-FR"/>
        </w:rPr>
        <w:t>(retraite, dépenses de</w:t>
      </w:r>
      <w:r w:rsidR="00972912" w:rsidRPr="00C4796B">
        <w:rPr>
          <w:rFonts w:ascii="Calibri" w:eastAsia="Times New Roman" w:hAnsi="Calibri" w:cs="Arial"/>
          <w:sz w:val="24"/>
          <w:szCs w:val="24"/>
          <w:lang w:eastAsia="fr-FR"/>
        </w:rPr>
        <w:t xml:space="preserve"> santé, avenir des enfants...) : elle tend à s’accentuer lorsque celle-ci augmente ou que la situation sociale se dégrade. </w:t>
      </w:r>
      <w:r w:rsidRPr="00C4796B">
        <w:rPr>
          <w:rFonts w:ascii="Calibri" w:eastAsia="Times New Roman" w:hAnsi="Calibri" w:cs="Arial"/>
          <w:sz w:val="24"/>
          <w:szCs w:val="24"/>
          <w:lang w:eastAsia="fr-FR"/>
        </w:rPr>
        <w:t>Dans ce sens, l'effort d'épargne est inversement lié à l'importance du système de</w:t>
      </w:r>
      <w:r w:rsidR="00C4796B">
        <w:rPr>
          <w:rFonts w:ascii="Calibri" w:eastAsia="Times New Roman" w:hAnsi="Calibri" w:cs="Arial"/>
          <w:sz w:val="24"/>
          <w:szCs w:val="24"/>
          <w:lang w:eastAsia="fr-FR"/>
        </w:rPr>
        <w:t xml:space="preserve"> protection sociale en vigueur</w:t>
      </w:r>
      <w:r w:rsidR="00C90FB7">
        <w:rPr>
          <w:rFonts w:ascii="Calibri" w:eastAsia="Times New Roman" w:hAnsi="Calibri" w:cs="Arial"/>
          <w:sz w:val="24"/>
          <w:szCs w:val="24"/>
          <w:lang w:eastAsia="fr-FR"/>
        </w:rPr>
        <w:t>.</w:t>
      </w:r>
    </w:p>
    <w:p w:rsidR="00B41CD0" w:rsidRPr="00B41CD0" w:rsidRDefault="00B41CD0" w:rsidP="00B41CD0">
      <w:pPr>
        <w:pStyle w:val="Paragraphedeliste"/>
        <w:rPr>
          <w:rFonts w:ascii="Calibri" w:eastAsia="Times New Roman" w:hAnsi="Calibri" w:cs="Arial"/>
          <w:sz w:val="24"/>
          <w:szCs w:val="24"/>
          <w:lang w:eastAsia="fr-FR"/>
        </w:rPr>
      </w:pPr>
    </w:p>
    <w:p w:rsidR="001A0C05" w:rsidRPr="00B41CD0" w:rsidRDefault="001A0C05" w:rsidP="00B41CD0">
      <w:pPr>
        <w:pStyle w:val="Paragraphedeliste"/>
        <w:numPr>
          <w:ilvl w:val="0"/>
          <w:numId w:val="8"/>
        </w:numPr>
        <w:spacing w:before="100" w:beforeAutospacing="1" w:after="100" w:afterAutospacing="1" w:line="240" w:lineRule="auto"/>
        <w:jc w:val="both"/>
        <w:rPr>
          <w:rFonts w:ascii="Calibri" w:eastAsia="Times New Roman" w:hAnsi="Calibri" w:cs="Arial"/>
          <w:sz w:val="24"/>
          <w:szCs w:val="24"/>
          <w:lang w:eastAsia="fr-FR"/>
        </w:rPr>
      </w:pPr>
      <w:r w:rsidRPr="00B41CD0">
        <w:rPr>
          <w:rFonts w:ascii="Calibri" w:eastAsia="Times New Roman" w:hAnsi="Calibri" w:cs="Arial"/>
          <w:sz w:val="24"/>
          <w:szCs w:val="24"/>
          <w:lang w:eastAsia="fr-FR"/>
        </w:rPr>
        <w:t xml:space="preserve">L'épargne de </w:t>
      </w:r>
      <w:r w:rsidR="00972912" w:rsidRPr="00B41CD0">
        <w:rPr>
          <w:rFonts w:ascii="Calibri" w:eastAsia="Times New Roman" w:hAnsi="Calibri" w:cs="Arial"/>
          <w:sz w:val="24"/>
          <w:szCs w:val="24"/>
          <w:lang w:eastAsia="fr-FR"/>
        </w:rPr>
        <w:t>liquidité</w:t>
      </w:r>
      <w:r w:rsidRPr="00B41CD0">
        <w:rPr>
          <w:rFonts w:ascii="Calibri" w:eastAsia="Times New Roman" w:hAnsi="Calibri" w:cs="Arial"/>
          <w:sz w:val="24"/>
          <w:szCs w:val="24"/>
          <w:lang w:eastAsia="fr-FR"/>
        </w:rPr>
        <w:t xml:space="preserve"> </w:t>
      </w:r>
      <w:r w:rsidR="00972912" w:rsidRPr="00B41CD0">
        <w:rPr>
          <w:rFonts w:ascii="Calibri" w:eastAsia="Times New Roman" w:hAnsi="Calibri" w:cs="Arial"/>
          <w:sz w:val="24"/>
          <w:szCs w:val="24"/>
          <w:lang w:eastAsia="fr-FR"/>
        </w:rPr>
        <w:t>vise à disposer d’une trésorerie suffisante pour financer la consommation quotidienne ou exceptionnelle entre deux intervalles de perception du revenu</w:t>
      </w:r>
      <w:r w:rsidRPr="00B41CD0">
        <w:rPr>
          <w:rFonts w:ascii="Calibri" w:eastAsia="Times New Roman" w:hAnsi="Calibri" w:cs="Arial"/>
          <w:sz w:val="24"/>
          <w:szCs w:val="24"/>
          <w:lang w:eastAsia="fr-FR"/>
        </w:rPr>
        <w:t xml:space="preserve">... </w:t>
      </w:r>
    </w:p>
    <w:p w:rsidR="001A0C05" w:rsidRPr="003C52D4" w:rsidRDefault="001A0C05" w:rsidP="00674E63">
      <w:pPr>
        <w:spacing w:before="100" w:beforeAutospacing="1" w:after="100" w:afterAutospacing="1" w:line="240" w:lineRule="auto"/>
        <w:jc w:val="both"/>
        <w:rPr>
          <w:rFonts w:ascii="Arial" w:eastAsia="Times New Roman" w:hAnsi="Arial" w:cs="Times New Roman"/>
          <w:b/>
          <w:color w:val="CC0000"/>
          <w:lang w:eastAsia="fr-FR"/>
        </w:rPr>
      </w:pPr>
      <w:r w:rsidRPr="003C52D4">
        <w:rPr>
          <w:rFonts w:ascii="Arial" w:eastAsia="Times New Roman" w:hAnsi="Arial" w:cs="Times New Roman"/>
          <w:b/>
          <w:color w:val="CC0000"/>
          <w:lang w:eastAsia="fr-FR"/>
        </w:rPr>
        <w:t xml:space="preserve">L'analyse économique de la fonction d'épargne </w:t>
      </w:r>
    </w:p>
    <w:p w:rsidR="001A0C05" w:rsidRPr="00343AF3" w:rsidRDefault="001A0C05" w:rsidP="00674E63">
      <w:pPr>
        <w:spacing w:before="100" w:beforeAutospacing="1" w:after="100" w:afterAutospacing="1" w:line="240" w:lineRule="auto"/>
        <w:jc w:val="both"/>
        <w:rPr>
          <w:rFonts w:ascii="Calibri" w:eastAsia="Times New Roman" w:hAnsi="Calibri" w:cs="Arial"/>
          <w:sz w:val="24"/>
          <w:szCs w:val="24"/>
          <w:lang w:eastAsia="fr-FR"/>
        </w:rPr>
      </w:pPr>
      <w:r w:rsidRPr="00343AF3">
        <w:rPr>
          <w:rFonts w:ascii="Calibri" w:eastAsia="Times New Roman" w:hAnsi="Calibri" w:cs="Arial"/>
          <w:sz w:val="24"/>
          <w:szCs w:val="24"/>
          <w:lang w:eastAsia="fr-FR"/>
        </w:rPr>
        <w:t xml:space="preserve">• Dans la théorie classique, c'est l'arbitrage par le taux </w:t>
      </w:r>
      <w:r w:rsidR="00CE439C" w:rsidRPr="00343AF3">
        <w:rPr>
          <w:rFonts w:ascii="Calibri" w:eastAsia="Times New Roman" w:hAnsi="Calibri" w:cs="Arial"/>
          <w:sz w:val="24"/>
          <w:szCs w:val="24"/>
          <w:lang w:eastAsia="fr-FR"/>
        </w:rPr>
        <w:t xml:space="preserve">d’intérêt </w:t>
      </w:r>
      <w:hyperlink r:id="rId32" w:anchor="N2" w:history="1">
        <w:r w:rsidRPr="00343AF3">
          <w:rPr>
            <w:rFonts w:ascii="Calibri" w:eastAsia="Times New Roman" w:hAnsi="Calibri" w:cs="Arial"/>
            <w:sz w:val="24"/>
            <w:szCs w:val="24"/>
            <w:lang w:eastAsia="fr-FR"/>
          </w:rPr>
          <w:t>[2]</w:t>
        </w:r>
      </w:hyperlink>
      <w:r w:rsidRPr="00343AF3">
        <w:rPr>
          <w:rFonts w:ascii="Calibri" w:eastAsia="Times New Roman" w:hAnsi="Calibri" w:cs="Arial"/>
          <w:sz w:val="24"/>
          <w:szCs w:val="24"/>
          <w:lang w:eastAsia="fr-FR"/>
        </w:rPr>
        <w:t xml:space="preserve"> qui réparti le revenu entre consommation et épargne. </w:t>
      </w:r>
    </w:p>
    <w:p w:rsidR="001A0C05" w:rsidRDefault="001A0C05" w:rsidP="00674E63">
      <w:pPr>
        <w:spacing w:before="100" w:beforeAutospacing="1" w:after="100" w:afterAutospacing="1" w:line="240" w:lineRule="auto"/>
        <w:jc w:val="both"/>
        <w:rPr>
          <w:rFonts w:ascii="Calibri" w:eastAsia="Times New Roman" w:hAnsi="Calibri" w:cs="Arial"/>
          <w:sz w:val="24"/>
          <w:szCs w:val="24"/>
          <w:lang w:eastAsia="fr-FR"/>
        </w:rPr>
      </w:pPr>
      <w:r w:rsidRPr="00343AF3">
        <w:rPr>
          <w:rFonts w:ascii="Calibri" w:eastAsia="Times New Roman" w:hAnsi="Calibri" w:cs="Arial"/>
          <w:sz w:val="24"/>
          <w:szCs w:val="24"/>
          <w:lang w:eastAsia="fr-FR"/>
        </w:rPr>
        <w:t xml:space="preserve">• Dans la théorie keynésienne, c'est l'arbitrage par l'importance du revenu qui détermine la part de l'épargne (la propension moyenne à consommer, la PMS), le taux d'intérêt n'intervenant, en second lieu, que pour la répartition des formes d'épargne entre placements et détention de monnaie (hypothèse de préférence pour la liquidité). </w:t>
      </w:r>
    </w:p>
    <w:p w:rsidR="009F7D87" w:rsidRDefault="009F7D87" w:rsidP="00674E63">
      <w:pPr>
        <w:spacing w:before="100" w:beforeAutospacing="1" w:after="100" w:afterAutospacing="1" w:line="240" w:lineRule="auto"/>
        <w:jc w:val="both"/>
        <w:rPr>
          <w:rFonts w:ascii="Calibri" w:eastAsia="Times New Roman" w:hAnsi="Calibri" w:cs="Arial"/>
          <w:sz w:val="24"/>
          <w:szCs w:val="24"/>
          <w:lang w:eastAsia="fr-FR"/>
        </w:rPr>
      </w:pPr>
    </w:p>
    <w:p w:rsidR="009F7D87" w:rsidRDefault="009F7D87" w:rsidP="00674E63">
      <w:pPr>
        <w:spacing w:before="100" w:beforeAutospacing="1" w:after="100" w:afterAutospacing="1" w:line="240" w:lineRule="auto"/>
        <w:jc w:val="both"/>
        <w:rPr>
          <w:rFonts w:ascii="Calibri" w:eastAsia="Times New Roman" w:hAnsi="Calibri" w:cs="Arial"/>
          <w:sz w:val="24"/>
          <w:szCs w:val="24"/>
          <w:lang w:eastAsia="fr-FR"/>
        </w:rPr>
      </w:pPr>
    </w:p>
    <w:p w:rsidR="009F7D87" w:rsidRDefault="009F7D87" w:rsidP="00674E63">
      <w:pPr>
        <w:spacing w:before="100" w:beforeAutospacing="1" w:after="100" w:afterAutospacing="1" w:line="240" w:lineRule="auto"/>
        <w:jc w:val="both"/>
        <w:rPr>
          <w:rFonts w:ascii="Calibri" w:eastAsia="Times New Roman" w:hAnsi="Calibri" w:cs="Arial"/>
          <w:sz w:val="24"/>
          <w:szCs w:val="24"/>
          <w:lang w:eastAsia="fr-FR"/>
        </w:rPr>
      </w:pPr>
    </w:p>
    <w:p w:rsidR="009F7D87" w:rsidRDefault="009F7D87" w:rsidP="00674E63">
      <w:pPr>
        <w:spacing w:before="100" w:beforeAutospacing="1" w:after="100" w:afterAutospacing="1" w:line="240" w:lineRule="auto"/>
        <w:jc w:val="both"/>
        <w:rPr>
          <w:rFonts w:ascii="Calibri" w:eastAsia="Times New Roman" w:hAnsi="Calibri" w:cs="Arial"/>
          <w:sz w:val="24"/>
          <w:szCs w:val="24"/>
          <w:lang w:eastAsia="fr-FR"/>
        </w:rPr>
      </w:pPr>
    </w:p>
    <w:p w:rsidR="009F7D87" w:rsidRDefault="009F7D87" w:rsidP="00674E63">
      <w:pPr>
        <w:spacing w:before="100" w:beforeAutospacing="1" w:after="100" w:afterAutospacing="1" w:line="240" w:lineRule="auto"/>
        <w:jc w:val="both"/>
        <w:rPr>
          <w:rFonts w:ascii="Calibri" w:eastAsia="Times New Roman" w:hAnsi="Calibri" w:cs="Arial"/>
          <w:sz w:val="24"/>
          <w:szCs w:val="24"/>
          <w:lang w:eastAsia="fr-FR"/>
        </w:rPr>
      </w:pPr>
    </w:p>
    <w:p w:rsidR="009F7D87" w:rsidRDefault="009F7D87" w:rsidP="00674E63">
      <w:pPr>
        <w:spacing w:before="100" w:beforeAutospacing="1" w:after="100" w:afterAutospacing="1" w:line="240" w:lineRule="auto"/>
        <w:jc w:val="both"/>
        <w:rPr>
          <w:rFonts w:ascii="Calibri" w:eastAsia="Times New Roman" w:hAnsi="Calibri" w:cs="Arial"/>
          <w:sz w:val="24"/>
          <w:szCs w:val="24"/>
          <w:lang w:eastAsia="fr-FR"/>
        </w:rPr>
      </w:pPr>
    </w:p>
    <w:p w:rsidR="009F7D87" w:rsidRDefault="009F7D87" w:rsidP="00674E63">
      <w:pPr>
        <w:spacing w:before="100" w:beforeAutospacing="1" w:after="100" w:afterAutospacing="1" w:line="240" w:lineRule="auto"/>
        <w:jc w:val="both"/>
        <w:rPr>
          <w:rFonts w:ascii="Calibri" w:eastAsia="Times New Roman" w:hAnsi="Calibri" w:cs="Arial"/>
          <w:sz w:val="24"/>
          <w:szCs w:val="24"/>
          <w:lang w:eastAsia="fr-FR"/>
        </w:rPr>
      </w:pPr>
    </w:p>
    <w:p w:rsidR="009F7D87" w:rsidRPr="00343AF3" w:rsidRDefault="009F7D87" w:rsidP="00674E63">
      <w:pPr>
        <w:spacing w:before="100" w:beforeAutospacing="1" w:after="100" w:afterAutospacing="1" w:line="240" w:lineRule="auto"/>
        <w:jc w:val="both"/>
        <w:rPr>
          <w:rFonts w:ascii="Calibri" w:eastAsia="Times New Roman" w:hAnsi="Calibri" w:cs="Arial"/>
          <w:sz w:val="24"/>
          <w:szCs w:val="24"/>
          <w:lang w:eastAsia="fr-FR"/>
        </w:rPr>
      </w:pPr>
    </w:p>
    <w:p w:rsidR="001A0C05" w:rsidRPr="00B41CD0" w:rsidRDefault="001327E6" w:rsidP="00C4796B">
      <w:pPr>
        <w:spacing w:line="240" w:lineRule="auto"/>
        <w:jc w:val="both"/>
        <w:rPr>
          <w:rFonts w:ascii="Calibri" w:eastAsia="Times New Roman" w:hAnsi="Calibri" w:cs="Arial"/>
          <w:b/>
          <w:sz w:val="24"/>
          <w:szCs w:val="24"/>
          <w:lang w:eastAsia="fr-FR"/>
        </w:rPr>
      </w:pPr>
      <w:r w:rsidRPr="00B41CD0">
        <w:rPr>
          <w:rFonts w:ascii="Calibri" w:eastAsia="Times New Roman" w:hAnsi="Calibri" w:cs="Arial"/>
          <w:b/>
          <w:sz w:val="24"/>
          <w:szCs w:val="24"/>
          <w:lang w:eastAsia="fr-FR"/>
        </w:rPr>
        <w:t xml:space="preserve">L'évolution </w:t>
      </w:r>
      <w:r w:rsidR="001A0C05" w:rsidRPr="00B41CD0">
        <w:rPr>
          <w:rFonts w:ascii="Calibri" w:eastAsia="Times New Roman" w:hAnsi="Calibri" w:cs="Arial"/>
          <w:b/>
          <w:sz w:val="24"/>
          <w:szCs w:val="24"/>
          <w:lang w:eastAsia="fr-FR"/>
        </w:rPr>
        <w:t>du taux d'épargne</w:t>
      </w:r>
      <w:r w:rsidR="00106331" w:rsidRPr="00B41CD0">
        <w:rPr>
          <w:rFonts w:ascii="Calibri" w:eastAsia="Times New Roman" w:hAnsi="Calibri" w:cs="Arial"/>
          <w:b/>
          <w:sz w:val="24"/>
          <w:szCs w:val="24"/>
          <w:lang w:eastAsia="fr-FR"/>
        </w:rPr>
        <w:t xml:space="preserve"> brute (ratio entre l’épargne brute et le revenu disponible brut)</w:t>
      </w:r>
    </w:p>
    <w:p w:rsidR="001A0C05" w:rsidRPr="00343AF3" w:rsidRDefault="001A0C05" w:rsidP="00C4796B">
      <w:pPr>
        <w:spacing w:line="240" w:lineRule="auto"/>
        <w:jc w:val="both"/>
        <w:rPr>
          <w:rFonts w:ascii="Calibri" w:eastAsia="Times New Roman" w:hAnsi="Calibri" w:cs="Arial"/>
          <w:sz w:val="24"/>
          <w:szCs w:val="24"/>
          <w:lang w:eastAsia="fr-FR"/>
        </w:rPr>
      </w:pPr>
      <w:r w:rsidRPr="00343AF3">
        <w:rPr>
          <w:rFonts w:ascii="Calibri" w:eastAsia="Times New Roman" w:hAnsi="Calibri" w:cs="Arial"/>
          <w:sz w:val="24"/>
          <w:szCs w:val="24"/>
          <w:lang w:eastAsia="fr-FR"/>
        </w:rPr>
        <w:t xml:space="preserve">Situé entre 18 et 20 % du revenu disponible dans les années 1970, le taux </w:t>
      </w:r>
      <w:r w:rsidR="002E0F4E" w:rsidRPr="00343AF3">
        <w:rPr>
          <w:rFonts w:ascii="Calibri" w:eastAsia="Times New Roman" w:hAnsi="Calibri" w:cs="Arial"/>
          <w:sz w:val="24"/>
          <w:szCs w:val="24"/>
          <w:lang w:eastAsia="fr-FR"/>
        </w:rPr>
        <w:t xml:space="preserve">d’épargne </w:t>
      </w:r>
      <w:hyperlink r:id="rId33" w:anchor="N3" w:history="1">
        <w:r w:rsidRPr="00343AF3">
          <w:rPr>
            <w:rFonts w:ascii="Calibri" w:eastAsia="Times New Roman" w:hAnsi="Calibri" w:cs="Arial"/>
            <w:sz w:val="24"/>
            <w:szCs w:val="24"/>
            <w:lang w:eastAsia="fr-FR"/>
          </w:rPr>
          <w:t>[3]</w:t>
        </w:r>
      </w:hyperlink>
      <w:r w:rsidRPr="00343AF3">
        <w:rPr>
          <w:rFonts w:ascii="Calibri" w:eastAsia="Times New Roman" w:hAnsi="Calibri" w:cs="Arial"/>
          <w:sz w:val="24"/>
          <w:szCs w:val="24"/>
          <w:lang w:eastAsia="fr-FR"/>
        </w:rPr>
        <w:t xml:space="preserve"> des ménages a c</w:t>
      </w:r>
      <w:r w:rsidR="001B36A3" w:rsidRPr="00343AF3">
        <w:rPr>
          <w:rFonts w:ascii="Calibri" w:eastAsia="Times New Roman" w:hAnsi="Calibri" w:cs="Arial"/>
          <w:sz w:val="24"/>
          <w:szCs w:val="24"/>
          <w:lang w:eastAsia="fr-FR"/>
        </w:rPr>
        <w:t>huté pendant les années 1980 (11,10</w:t>
      </w:r>
      <w:r w:rsidRPr="00343AF3">
        <w:rPr>
          <w:rFonts w:ascii="Calibri" w:eastAsia="Times New Roman" w:hAnsi="Calibri" w:cs="Arial"/>
          <w:sz w:val="24"/>
          <w:szCs w:val="24"/>
          <w:lang w:eastAsia="fr-FR"/>
        </w:rPr>
        <w:t xml:space="preserve"> % en 1987), pour se fixer </w:t>
      </w:r>
      <w:r w:rsidR="001B36A3" w:rsidRPr="00343AF3">
        <w:rPr>
          <w:rFonts w:ascii="Calibri" w:eastAsia="Times New Roman" w:hAnsi="Calibri" w:cs="Arial"/>
          <w:sz w:val="24"/>
          <w:szCs w:val="24"/>
          <w:lang w:eastAsia="fr-FR"/>
        </w:rPr>
        <w:t>ensuite autour de 15</w:t>
      </w:r>
      <w:r w:rsidRPr="00343AF3">
        <w:rPr>
          <w:rFonts w:ascii="Calibri" w:eastAsia="Times New Roman" w:hAnsi="Calibri" w:cs="Arial"/>
          <w:sz w:val="24"/>
          <w:szCs w:val="24"/>
          <w:lang w:eastAsia="fr-FR"/>
        </w:rPr>
        <w:t>%en moyenner (</w:t>
      </w:r>
      <w:r w:rsidR="001B36A3" w:rsidRPr="00343AF3">
        <w:rPr>
          <w:rFonts w:ascii="Calibri" w:eastAsia="Times New Roman" w:hAnsi="Calibri" w:cs="Arial"/>
          <w:sz w:val="24"/>
          <w:szCs w:val="24"/>
          <w:lang w:eastAsia="fr-FR"/>
        </w:rPr>
        <w:t>16,10</w:t>
      </w:r>
      <w:r w:rsidRPr="00343AF3">
        <w:rPr>
          <w:rFonts w:ascii="Calibri" w:eastAsia="Times New Roman" w:hAnsi="Calibri" w:cs="Arial"/>
          <w:sz w:val="24"/>
          <w:szCs w:val="24"/>
          <w:lang w:eastAsia="fr-FR"/>
        </w:rPr>
        <w:t>% % en 20</w:t>
      </w:r>
      <w:r w:rsidR="001B36A3" w:rsidRPr="00343AF3">
        <w:rPr>
          <w:rFonts w:ascii="Calibri" w:eastAsia="Times New Roman" w:hAnsi="Calibri" w:cs="Arial"/>
          <w:sz w:val="24"/>
          <w:szCs w:val="24"/>
          <w:lang w:eastAsia="fr-FR"/>
        </w:rPr>
        <w:t>11</w:t>
      </w:r>
      <w:r w:rsidRPr="00343AF3">
        <w:rPr>
          <w:rFonts w:ascii="Calibri" w:eastAsia="Times New Roman" w:hAnsi="Calibri" w:cs="Arial"/>
          <w:sz w:val="24"/>
          <w:szCs w:val="24"/>
          <w:lang w:eastAsia="fr-FR"/>
        </w:rPr>
        <w:t xml:space="preserve">) (figure 9). </w:t>
      </w:r>
    </w:p>
    <w:p w:rsidR="00FD4EF9" w:rsidRPr="00343AF3" w:rsidRDefault="00FD4EF9" w:rsidP="001A0C05">
      <w:pPr>
        <w:spacing w:before="100" w:beforeAutospacing="1" w:after="100" w:afterAutospacing="1" w:line="240" w:lineRule="auto"/>
        <w:rPr>
          <w:rFonts w:ascii="Calibri" w:eastAsia="Times New Roman" w:hAnsi="Calibri" w:cs="Arial"/>
          <w:sz w:val="24"/>
          <w:szCs w:val="24"/>
          <w:lang w:eastAsia="fr-FR"/>
        </w:rPr>
      </w:pPr>
      <w:r w:rsidRPr="00343AF3">
        <w:rPr>
          <w:rFonts w:ascii="Calibri" w:eastAsia="Times New Roman" w:hAnsi="Calibri" w:cs="Arial"/>
          <w:noProof/>
          <w:sz w:val="24"/>
          <w:szCs w:val="24"/>
          <w:lang w:eastAsia="fr-FR"/>
        </w:rPr>
        <w:drawing>
          <wp:anchor distT="0" distB="0" distL="114300" distR="114300" simplePos="0" relativeHeight="251662336" behindDoc="1" locked="0" layoutInCell="1" allowOverlap="1" wp14:anchorId="5DA3472F" wp14:editId="5BEEC245">
            <wp:simplePos x="0" y="0"/>
            <wp:positionH relativeFrom="column">
              <wp:posOffset>1123950</wp:posOffset>
            </wp:positionH>
            <wp:positionV relativeFrom="paragraph">
              <wp:posOffset>55245</wp:posOffset>
            </wp:positionV>
            <wp:extent cx="4902835" cy="5057775"/>
            <wp:effectExtent l="0" t="0" r="0" b="0"/>
            <wp:wrapTight wrapText="bothSides">
              <wp:wrapPolygon edited="0">
                <wp:start x="0" y="0"/>
                <wp:lineTo x="0" y="21559"/>
                <wp:lineTo x="21485" y="21559"/>
                <wp:lineTo x="21485" y="0"/>
                <wp:lineTo x="0" y="0"/>
              </wp:wrapPolygon>
            </wp:wrapTight>
            <wp:docPr id="12" name="Image 12" descr="C:\Users\mberrah\Desktop\NATTEF0814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errah\Desktop\NATTEF08148.bmp"/>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902835" cy="5057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61AAD" w:rsidRDefault="00A61AAD" w:rsidP="001A0C05">
      <w:pPr>
        <w:spacing w:before="100" w:beforeAutospacing="1" w:after="100" w:afterAutospacing="1" w:line="240" w:lineRule="auto"/>
        <w:rPr>
          <w:rFonts w:ascii="Calibri" w:eastAsia="Times New Roman" w:hAnsi="Calibri" w:cs="Arial"/>
          <w:sz w:val="24"/>
          <w:szCs w:val="24"/>
          <w:lang w:eastAsia="fr-FR"/>
        </w:rPr>
      </w:pPr>
    </w:p>
    <w:p w:rsidR="00A61AAD" w:rsidRDefault="00A61AAD" w:rsidP="001A0C05">
      <w:pPr>
        <w:spacing w:before="100" w:beforeAutospacing="1" w:after="100" w:afterAutospacing="1" w:line="240" w:lineRule="auto"/>
        <w:rPr>
          <w:rFonts w:ascii="Calibri" w:eastAsia="Times New Roman" w:hAnsi="Calibri" w:cs="Arial"/>
          <w:sz w:val="24"/>
          <w:szCs w:val="24"/>
          <w:lang w:eastAsia="fr-FR"/>
        </w:rPr>
      </w:pPr>
    </w:p>
    <w:p w:rsidR="00A61AAD" w:rsidRDefault="00A61AAD" w:rsidP="001A0C05">
      <w:pPr>
        <w:spacing w:before="100" w:beforeAutospacing="1" w:after="100" w:afterAutospacing="1" w:line="240" w:lineRule="auto"/>
        <w:rPr>
          <w:rFonts w:ascii="Calibri" w:eastAsia="Times New Roman" w:hAnsi="Calibri" w:cs="Arial"/>
          <w:sz w:val="24"/>
          <w:szCs w:val="24"/>
          <w:lang w:eastAsia="fr-FR"/>
        </w:rPr>
      </w:pPr>
    </w:p>
    <w:p w:rsidR="00A61AAD" w:rsidRDefault="00A61AAD" w:rsidP="001A0C05">
      <w:pPr>
        <w:spacing w:before="100" w:beforeAutospacing="1" w:after="100" w:afterAutospacing="1" w:line="240" w:lineRule="auto"/>
        <w:rPr>
          <w:rFonts w:ascii="Calibri" w:eastAsia="Times New Roman" w:hAnsi="Calibri" w:cs="Arial"/>
          <w:sz w:val="24"/>
          <w:szCs w:val="24"/>
          <w:lang w:eastAsia="fr-FR"/>
        </w:rPr>
      </w:pPr>
    </w:p>
    <w:p w:rsidR="00A61AAD" w:rsidRDefault="00A61AAD" w:rsidP="001A0C05">
      <w:pPr>
        <w:spacing w:before="100" w:beforeAutospacing="1" w:after="100" w:afterAutospacing="1" w:line="240" w:lineRule="auto"/>
        <w:rPr>
          <w:rFonts w:ascii="Calibri" w:eastAsia="Times New Roman" w:hAnsi="Calibri" w:cs="Arial"/>
          <w:sz w:val="24"/>
          <w:szCs w:val="24"/>
          <w:lang w:eastAsia="fr-FR"/>
        </w:rPr>
      </w:pPr>
    </w:p>
    <w:p w:rsidR="00A61AAD" w:rsidRDefault="00A61AAD" w:rsidP="001A0C05">
      <w:pPr>
        <w:spacing w:before="100" w:beforeAutospacing="1" w:after="100" w:afterAutospacing="1" w:line="240" w:lineRule="auto"/>
        <w:rPr>
          <w:rFonts w:ascii="Calibri" w:eastAsia="Times New Roman" w:hAnsi="Calibri" w:cs="Arial"/>
          <w:sz w:val="24"/>
          <w:szCs w:val="24"/>
          <w:lang w:eastAsia="fr-FR"/>
        </w:rPr>
      </w:pPr>
    </w:p>
    <w:p w:rsidR="00A61AAD" w:rsidRDefault="00A61AAD" w:rsidP="001A0C05">
      <w:pPr>
        <w:spacing w:before="100" w:beforeAutospacing="1" w:after="100" w:afterAutospacing="1" w:line="240" w:lineRule="auto"/>
        <w:rPr>
          <w:rFonts w:ascii="Calibri" w:eastAsia="Times New Roman" w:hAnsi="Calibri" w:cs="Arial"/>
          <w:sz w:val="24"/>
          <w:szCs w:val="24"/>
          <w:lang w:eastAsia="fr-FR"/>
        </w:rPr>
      </w:pPr>
    </w:p>
    <w:p w:rsidR="00A61AAD" w:rsidRDefault="00A61AAD" w:rsidP="001A0C05">
      <w:pPr>
        <w:spacing w:before="100" w:beforeAutospacing="1" w:after="100" w:afterAutospacing="1" w:line="240" w:lineRule="auto"/>
        <w:rPr>
          <w:rFonts w:ascii="Calibri" w:eastAsia="Times New Roman" w:hAnsi="Calibri" w:cs="Arial"/>
          <w:sz w:val="24"/>
          <w:szCs w:val="24"/>
          <w:lang w:eastAsia="fr-FR"/>
        </w:rPr>
      </w:pPr>
    </w:p>
    <w:p w:rsidR="00A61AAD" w:rsidRDefault="00A61AAD" w:rsidP="001A0C05">
      <w:pPr>
        <w:spacing w:before="100" w:beforeAutospacing="1" w:after="100" w:afterAutospacing="1" w:line="240" w:lineRule="auto"/>
        <w:rPr>
          <w:rFonts w:ascii="Calibri" w:eastAsia="Times New Roman" w:hAnsi="Calibri" w:cs="Arial"/>
          <w:sz w:val="24"/>
          <w:szCs w:val="24"/>
          <w:lang w:eastAsia="fr-FR"/>
        </w:rPr>
      </w:pPr>
    </w:p>
    <w:p w:rsidR="00943B11" w:rsidRDefault="00943B11" w:rsidP="001A0C05">
      <w:pPr>
        <w:spacing w:before="100" w:beforeAutospacing="1" w:after="100" w:afterAutospacing="1" w:line="240" w:lineRule="auto"/>
        <w:rPr>
          <w:rFonts w:ascii="Calibri" w:eastAsia="Times New Roman" w:hAnsi="Calibri" w:cs="Arial"/>
          <w:sz w:val="24"/>
          <w:szCs w:val="24"/>
          <w:lang w:eastAsia="fr-FR"/>
        </w:rPr>
      </w:pPr>
    </w:p>
    <w:p w:rsidR="00943B11" w:rsidRDefault="00943B11" w:rsidP="001A0C05">
      <w:pPr>
        <w:spacing w:before="100" w:beforeAutospacing="1" w:after="100" w:afterAutospacing="1" w:line="240" w:lineRule="auto"/>
        <w:rPr>
          <w:rFonts w:ascii="Calibri" w:eastAsia="Times New Roman" w:hAnsi="Calibri" w:cs="Arial"/>
          <w:sz w:val="24"/>
          <w:szCs w:val="24"/>
          <w:lang w:eastAsia="fr-FR"/>
        </w:rPr>
      </w:pPr>
    </w:p>
    <w:p w:rsidR="00943B11" w:rsidRDefault="00943B11" w:rsidP="001A0C05">
      <w:pPr>
        <w:spacing w:before="100" w:beforeAutospacing="1" w:after="100" w:afterAutospacing="1" w:line="240" w:lineRule="auto"/>
        <w:rPr>
          <w:rFonts w:ascii="Calibri" w:eastAsia="Times New Roman" w:hAnsi="Calibri" w:cs="Arial"/>
          <w:sz w:val="24"/>
          <w:szCs w:val="24"/>
          <w:lang w:eastAsia="fr-FR"/>
        </w:rPr>
      </w:pPr>
    </w:p>
    <w:p w:rsidR="00943B11" w:rsidRDefault="00943B11" w:rsidP="001A0C05">
      <w:pPr>
        <w:spacing w:before="100" w:beforeAutospacing="1" w:after="100" w:afterAutospacing="1" w:line="240" w:lineRule="auto"/>
        <w:rPr>
          <w:rFonts w:ascii="Calibri" w:eastAsia="Times New Roman" w:hAnsi="Calibri" w:cs="Arial"/>
          <w:sz w:val="24"/>
          <w:szCs w:val="24"/>
          <w:lang w:eastAsia="fr-FR"/>
        </w:rPr>
      </w:pPr>
    </w:p>
    <w:p w:rsidR="009F7D87" w:rsidRDefault="00D63D6D" w:rsidP="001A0C05">
      <w:pPr>
        <w:spacing w:before="100" w:beforeAutospacing="1" w:after="100" w:afterAutospacing="1" w:line="240" w:lineRule="auto"/>
        <w:rPr>
          <w:rFonts w:ascii="Calibri" w:eastAsia="Times New Roman" w:hAnsi="Calibri" w:cs="Arial"/>
          <w:sz w:val="24"/>
          <w:szCs w:val="24"/>
          <w:lang w:eastAsia="fr-FR"/>
        </w:rPr>
      </w:pPr>
      <w:r w:rsidRPr="00343AF3">
        <w:rPr>
          <w:rFonts w:ascii="Calibri" w:eastAsia="Times New Roman" w:hAnsi="Calibri" w:cs="Arial"/>
          <w:sz w:val="24"/>
          <w:szCs w:val="24"/>
          <w:lang w:eastAsia="fr-FR"/>
        </w:rPr>
        <w:t>Alors que le revenu disponible brut augmente de 2,6 %, la dépense de consommation finale des ménages ne progresse que de 2,3 % en valeur. Leur taux d’épargne remonte ainsi de 0,2 point à 16,1 % en 2011, après avoir baissé de 0,5 point en 2010</w:t>
      </w:r>
      <w:r w:rsidR="00E03D99">
        <w:rPr>
          <w:rFonts w:ascii="Calibri" w:eastAsia="Times New Roman" w:hAnsi="Calibri" w:cs="Arial"/>
          <w:sz w:val="24"/>
          <w:szCs w:val="24"/>
          <w:lang w:eastAsia="fr-FR"/>
        </w:rPr>
        <w:t>.</w:t>
      </w:r>
    </w:p>
    <w:p w:rsidR="001A0C05" w:rsidRPr="00343AF3" w:rsidRDefault="001A0C05" w:rsidP="001A0C05">
      <w:pPr>
        <w:spacing w:before="100" w:beforeAutospacing="1" w:after="100" w:afterAutospacing="1" w:line="240" w:lineRule="auto"/>
        <w:rPr>
          <w:rFonts w:ascii="Calibri" w:eastAsia="Times New Roman" w:hAnsi="Calibri" w:cs="Arial"/>
          <w:sz w:val="24"/>
          <w:szCs w:val="24"/>
          <w:lang w:eastAsia="fr-FR"/>
        </w:rPr>
      </w:pPr>
      <w:r w:rsidRPr="00343AF3">
        <w:rPr>
          <w:rFonts w:ascii="Calibri" w:eastAsia="Times New Roman" w:hAnsi="Calibri" w:cs="Arial"/>
          <w:sz w:val="24"/>
          <w:szCs w:val="24"/>
          <w:lang w:eastAsia="fr-FR"/>
        </w:rPr>
        <w:t xml:space="preserve">Plusieurs facteurs expliquent cette évolution : </w:t>
      </w:r>
    </w:p>
    <w:p w:rsidR="001A0C05" w:rsidRPr="00343AF3" w:rsidRDefault="001A0C05" w:rsidP="001A0C05">
      <w:pPr>
        <w:numPr>
          <w:ilvl w:val="0"/>
          <w:numId w:val="6"/>
        </w:numPr>
        <w:spacing w:before="100" w:beforeAutospacing="1" w:after="100" w:afterAutospacing="1" w:line="240" w:lineRule="auto"/>
        <w:ind w:left="1440"/>
        <w:rPr>
          <w:rFonts w:ascii="Calibri" w:eastAsia="Times New Roman" w:hAnsi="Calibri" w:cs="Arial"/>
          <w:sz w:val="24"/>
          <w:szCs w:val="24"/>
          <w:lang w:eastAsia="fr-FR"/>
        </w:rPr>
      </w:pPr>
      <w:r w:rsidRPr="00343AF3">
        <w:rPr>
          <w:rFonts w:ascii="Calibri" w:eastAsia="Times New Roman" w:hAnsi="Calibri" w:cs="Arial"/>
          <w:sz w:val="24"/>
          <w:szCs w:val="24"/>
          <w:lang w:eastAsia="fr-FR"/>
        </w:rPr>
        <w:t xml:space="preserve">La baisse du taux </w:t>
      </w:r>
      <w:r w:rsidR="001B36A3" w:rsidRPr="00343AF3">
        <w:rPr>
          <w:rFonts w:ascii="Calibri" w:eastAsia="Times New Roman" w:hAnsi="Calibri" w:cs="Arial"/>
          <w:sz w:val="24"/>
          <w:szCs w:val="24"/>
          <w:lang w:eastAsia="fr-FR"/>
        </w:rPr>
        <w:t>d’inflation,</w:t>
      </w:r>
      <w:r w:rsidRPr="00343AF3">
        <w:rPr>
          <w:rFonts w:ascii="Calibri" w:eastAsia="Times New Roman" w:hAnsi="Calibri" w:cs="Arial"/>
          <w:sz w:val="24"/>
          <w:szCs w:val="24"/>
          <w:lang w:eastAsia="fr-FR"/>
        </w:rPr>
        <w:t xml:space="preserve"> qui renchérit le coût des emprunts et</w:t>
      </w:r>
      <w:r w:rsidR="00B41CD0">
        <w:rPr>
          <w:rFonts w:ascii="Calibri" w:eastAsia="Times New Roman" w:hAnsi="Calibri" w:cs="Arial"/>
          <w:sz w:val="24"/>
          <w:szCs w:val="24"/>
          <w:lang w:eastAsia="fr-FR"/>
        </w:rPr>
        <w:t xml:space="preserve"> réduit le revenu net des prêts,</w:t>
      </w:r>
    </w:p>
    <w:p w:rsidR="001A0C05" w:rsidRPr="00343AF3" w:rsidRDefault="001A0C05" w:rsidP="001A0C05">
      <w:pPr>
        <w:numPr>
          <w:ilvl w:val="0"/>
          <w:numId w:val="6"/>
        </w:numPr>
        <w:spacing w:before="100" w:beforeAutospacing="1" w:after="100" w:afterAutospacing="1" w:line="240" w:lineRule="auto"/>
        <w:ind w:left="1440"/>
        <w:rPr>
          <w:rFonts w:ascii="Calibri" w:eastAsia="Times New Roman" w:hAnsi="Calibri" w:cs="Arial"/>
          <w:sz w:val="24"/>
          <w:szCs w:val="24"/>
          <w:lang w:eastAsia="fr-FR"/>
        </w:rPr>
      </w:pPr>
      <w:r w:rsidRPr="00343AF3">
        <w:rPr>
          <w:rFonts w:ascii="Calibri" w:eastAsia="Times New Roman" w:hAnsi="Calibri" w:cs="Arial"/>
          <w:sz w:val="24"/>
          <w:szCs w:val="24"/>
          <w:lang w:eastAsia="fr-FR"/>
        </w:rPr>
        <w:t>La faible</w:t>
      </w:r>
      <w:r w:rsidR="009F7D87">
        <w:rPr>
          <w:rFonts w:ascii="Calibri" w:eastAsia="Times New Roman" w:hAnsi="Calibri" w:cs="Arial"/>
          <w:sz w:val="24"/>
          <w:szCs w:val="24"/>
          <w:lang w:eastAsia="fr-FR"/>
        </w:rPr>
        <w:t xml:space="preserve"> progression du pouvoir d'achat</w:t>
      </w:r>
      <w:r w:rsidRPr="00343AF3">
        <w:rPr>
          <w:rFonts w:ascii="Calibri" w:eastAsia="Times New Roman" w:hAnsi="Calibri" w:cs="Arial"/>
          <w:sz w:val="24"/>
          <w:szCs w:val="24"/>
          <w:lang w:eastAsia="fr-FR"/>
        </w:rPr>
        <w:t>, liée au partage de la V.A., défavorable au travail et fav</w:t>
      </w:r>
      <w:r w:rsidR="00B41CD0">
        <w:rPr>
          <w:rFonts w:ascii="Calibri" w:eastAsia="Times New Roman" w:hAnsi="Calibri" w:cs="Arial"/>
          <w:sz w:val="24"/>
          <w:szCs w:val="24"/>
          <w:lang w:eastAsia="fr-FR"/>
        </w:rPr>
        <w:t>orable aux revenus du capital,</w:t>
      </w:r>
    </w:p>
    <w:p w:rsidR="001A0C05" w:rsidRPr="00343AF3" w:rsidRDefault="001A0C05" w:rsidP="001A0C05">
      <w:pPr>
        <w:numPr>
          <w:ilvl w:val="0"/>
          <w:numId w:val="6"/>
        </w:numPr>
        <w:spacing w:before="100" w:beforeAutospacing="1" w:after="100" w:afterAutospacing="1" w:line="240" w:lineRule="auto"/>
        <w:ind w:left="1440"/>
        <w:rPr>
          <w:rFonts w:ascii="Calibri" w:eastAsia="Times New Roman" w:hAnsi="Calibri" w:cs="Arial"/>
          <w:sz w:val="24"/>
          <w:szCs w:val="24"/>
          <w:lang w:eastAsia="fr-FR"/>
        </w:rPr>
      </w:pPr>
      <w:r w:rsidRPr="00343AF3">
        <w:rPr>
          <w:rFonts w:ascii="Calibri" w:eastAsia="Times New Roman" w:hAnsi="Calibri" w:cs="Arial"/>
          <w:sz w:val="24"/>
          <w:szCs w:val="24"/>
          <w:lang w:eastAsia="fr-FR"/>
        </w:rPr>
        <w:t xml:space="preserve">L'inquiétude des ménages quant au financement de la sécurité sociale et des retraites, et quant à l'avenir de l'emploi. </w:t>
      </w:r>
    </w:p>
    <w:p w:rsidR="001A0C05" w:rsidRPr="00343AF3" w:rsidRDefault="001A0C05" w:rsidP="001A0C05">
      <w:pPr>
        <w:spacing w:before="100" w:beforeAutospacing="1" w:after="100" w:afterAutospacing="1" w:line="240" w:lineRule="auto"/>
        <w:rPr>
          <w:rFonts w:ascii="Calibri" w:eastAsia="Times New Roman" w:hAnsi="Calibri" w:cs="Arial"/>
          <w:sz w:val="24"/>
          <w:szCs w:val="24"/>
          <w:lang w:eastAsia="fr-FR"/>
        </w:rPr>
      </w:pPr>
      <w:r w:rsidRPr="00343AF3">
        <w:rPr>
          <w:rFonts w:ascii="Calibri" w:eastAsia="Times New Roman" w:hAnsi="Calibri" w:cs="Arial"/>
          <w:sz w:val="24"/>
          <w:szCs w:val="24"/>
          <w:lang w:eastAsia="fr-FR"/>
        </w:rPr>
        <w:t xml:space="preserve">Taux d'épargne net des ménages : part (en pourcentage) non consommée du revenu qui est soit placée dans des actifs financiers, soit conservée en moyens de paiement </w:t>
      </w:r>
    </w:p>
    <w:p w:rsidR="001A0C05" w:rsidRPr="003C52D4" w:rsidRDefault="007B65D6" w:rsidP="001A0C05">
      <w:pPr>
        <w:spacing w:before="100" w:beforeAutospacing="1" w:after="100" w:afterAutospacing="1" w:line="240" w:lineRule="auto"/>
        <w:rPr>
          <w:rFonts w:ascii="Calibri" w:eastAsia="Times New Roman" w:hAnsi="Calibri" w:cs="Arial"/>
          <w:sz w:val="24"/>
          <w:szCs w:val="24"/>
          <w:u w:val="single"/>
          <w:lang w:eastAsia="fr-FR"/>
        </w:rPr>
      </w:pPr>
      <w:hyperlink r:id="rId35" w:history="1">
        <w:r w:rsidR="001A0C05" w:rsidRPr="003C52D4">
          <w:rPr>
            <w:rFonts w:ascii="Calibri" w:eastAsia="Times New Roman" w:hAnsi="Calibri" w:cs="Arial"/>
            <w:sz w:val="24"/>
            <w:szCs w:val="24"/>
            <w:u w:val="single"/>
            <w:lang w:eastAsia="fr-FR"/>
          </w:rPr>
          <w:t xml:space="preserve">http://www.ladocumentationfrancaise.fr/revues-collections/problemes-economiques/graphiques/evolutions-macroeconomiques.shtml </w:t>
        </w:r>
      </w:hyperlink>
    </w:p>
    <w:p w:rsidR="001A0C05" w:rsidRPr="00343AF3" w:rsidRDefault="001A0C05" w:rsidP="00943B11">
      <w:pPr>
        <w:spacing w:before="100" w:beforeAutospacing="1" w:after="100" w:afterAutospacing="1" w:line="240" w:lineRule="auto"/>
        <w:jc w:val="both"/>
        <w:rPr>
          <w:rFonts w:ascii="Calibri" w:eastAsia="Times New Roman" w:hAnsi="Calibri" w:cs="Arial"/>
          <w:sz w:val="24"/>
          <w:szCs w:val="24"/>
          <w:lang w:eastAsia="fr-FR"/>
        </w:rPr>
      </w:pPr>
      <w:r w:rsidRPr="00343AF3">
        <w:rPr>
          <w:rFonts w:ascii="Calibri" w:eastAsia="Times New Roman" w:hAnsi="Calibri" w:cs="Arial"/>
          <w:sz w:val="24"/>
          <w:szCs w:val="24"/>
          <w:lang w:eastAsia="fr-FR"/>
        </w:rPr>
        <w:t xml:space="preserve">En conclusion, le marché lie efficacement les revenus à l'épargne et/ou à la consommation, au prix d'inégalités économiques certaines, alors que l'action de l'État dans ce domaine réduit plutôt les inégalités sociales, au prix d'un coût budgétaire qui pose aujourd'hui problème pour l'équilibre des finances publiques, comme le montre le déficit croissant des comptes de la sécurité sociale (-30 Milliards d'€ prévus en 2010 selon le rapport de la cours des comptes de 2009). </w:t>
      </w:r>
    </w:p>
    <w:p w:rsidR="00A61AAD" w:rsidRDefault="00A61AAD" w:rsidP="001A0C05">
      <w:pPr>
        <w:spacing w:before="100" w:beforeAutospacing="1" w:after="100" w:afterAutospacing="1" w:line="240" w:lineRule="auto"/>
        <w:rPr>
          <w:rFonts w:ascii="Arial" w:eastAsia="Times New Roman" w:hAnsi="Arial" w:cs="Times New Roman"/>
          <w:b/>
          <w:color w:val="CC0000"/>
          <w:sz w:val="26"/>
          <w:szCs w:val="24"/>
          <w:lang w:eastAsia="fr-FR"/>
        </w:rPr>
      </w:pPr>
    </w:p>
    <w:p w:rsidR="001A0C05" w:rsidRPr="00E03D99" w:rsidRDefault="001A0C05" w:rsidP="001A0C05">
      <w:pPr>
        <w:spacing w:before="100" w:beforeAutospacing="1" w:after="100" w:afterAutospacing="1" w:line="240" w:lineRule="auto"/>
        <w:rPr>
          <w:rFonts w:ascii="Arial" w:eastAsia="Times New Roman" w:hAnsi="Arial" w:cs="Times New Roman"/>
          <w:b/>
          <w:color w:val="CC0000"/>
          <w:sz w:val="26"/>
          <w:szCs w:val="24"/>
          <w:lang w:eastAsia="fr-FR"/>
        </w:rPr>
      </w:pPr>
      <w:r w:rsidRPr="00E03D99">
        <w:rPr>
          <w:rFonts w:ascii="Arial" w:eastAsia="Times New Roman" w:hAnsi="Arial" w:cs="Times New Roman"/>
          <w:b/>
          <w:color w:val="CC0000"/>
          <w:sz w:val="26"/>
          <w:szCs w:val="24"/>
          <w:lang w:eastAsia="fr-FR"/>
        </w:rPr>
        <w:t xml:space="preserve">Notes </w:t>
      </w:r>
    </w:p>
    <w:p w:rsidR="001A0C05" w:rsidRPr="00343AF3" w:rsidRDefault="001A0C05" w:rsidP="001A0C05">
      <w:pPr>
        <w:spacing w:before="100" w:beforeAutospacing="1" w:after="100" w:afterAutospacing="1" w:line="240" w:lineRule="auto"/>
        <w:rPr>
          <w:rFonts w:ascii="Calibri" w:eastAsia="Times New Roman" w:hAnsi="Calibri" w:cs="Arial"/>
          <w:sz w:val="24"/>
          <w:szCs w:val="24"/>
          <w:lang w:eastAsia="fr-FR"/>
        </w:rPr>
      </w:pPr>
      <w:bookmarkStart w:id="16" w:name="N1"/>
      <w:bookmarkEnd w:id="16"/>
      <w:r w:rsidRPr="00343AF3">
        <w:rPr>
          <w:rFonts w:ascii="Calibri" w:eastAsia="Times New Roman" w:hAnsi="Calibri" w:cs="Arial"/>
          <w:sz w:val="24"/>
          <w:szCs w:val="24"/>
          <w:lang w:eastAsia="fr-FR"/>
        </w:rPr>
        <w:t xml:space="preserve">[1] </w:t>
      </w:r>
      <w:hyperlink r:id="rId36" w:history="1">
        <w:r w:rsidRPr="00343AF3">
          <w:rPr>
            <w:rFonts w:ascii="Calibri" w:eastAsia="Times New Roman" w:hAnsi="Calibri" w:cs="Arial"/>
            <w:sz w:val="24"/>
            <w:szCs w:val="24"/>
            <w:lang w:eastAsia="fr-FR"/>
          </w:rPr>
          <w:t xml:space="preserve">http://www.insee.fr/fr/indicateur/cnat_annu/base_95/tableaux/ex/tab_eco_ensemble_ex.htm </w:t>
        </w:r>
      </w:hyperlink>
    </w:p>
    <w:p w:rsidR="001A0C05" w:rsidRPr="00343AF3" w:rsidRDefault="001A0C05" w:rsidP="001A0C05">
      <w:pPr>
        <w:spacing w:before="100" w:beforeAutospacing="1" w:after="100" w:afterAutospacing="1" w:line="240" w:lineRule="auto"/>
        <w:rPr>
          <w:rFonts w:ascii="Calibri" w:eastAsia="Times New Roman" w:hAnsi="Calibri" w:cs="Arial"/>
          <w:sz w:val="24"/>
          <w:szCs w:val="24"/>
          <w:lang w:eastAsia="fr-FR"/>
        </w:rPr>
      </w:pPr>
      <w:bookmarkStart w:id="17" w:name="N2"/>
      <w:bookmarkEnd w:id="17"/>
      <w:r w:rsidRPr="00343AF3">
        <w:rPr>
          <w:rFonts w:ascii="Calibri" w:eastAsia="Times New Roman" w:hAnsi="Calibri" w:cs="Arial"/>
          <w:sz w:val="24"/>
          <w:szCs w:val="24"/>
          <w:lang w:eastAsia="fr-FR"/>
        </w:rPr>
        <w:t xml:space="preserve">[2] Taux d'intérêt à long terme : part du loyer de l'argent perçu (par le prêteur) ou versé (par l'emprunteur) dans la somme totale échangée pour une durée supérieure à cinq ans </w:t>
      </w:r>
    </w:p>
    <w:p w:rsidR="002E0F4E" w:rsidRPr="00343AF3" w:rsidRDefault="001A0C05" w:rsidP="001A0C05">
      <w:pPr>
        <w:spacing w:before="100" w:beforeAutospacing="1" w:after="100" w:afterAutospacing="1" w:line="240" w:lineRule="auto"/>
        <w:rPr>
          <w:rFonts w:ascii="Calibri" w:eastAsia="Times New Roman" w:hAnsi="Calibri" w:cs="Arial"/>
          <w:sz w:val="24"/>
          <w:szCs w:val="24"/>
          <w:lang w:eastAsia="fr-FR"/>
        </w:rPr>
      </w:pPr>
      <w:bookmarkStart w:id="18" w:name="N3"/>
      <w:bookmarkEnd w:id="18"/>
      <w:r w:rsidRPr="00343AF3">
        <w:rPr>
          <w:rFonts w:ascii="Calibri" w:eastAsia="Times New Roman" w:hAnsi="Calibri" w:cs="Arial"/>
          <w:sz w:val="24"/>
          <w:szCs w:val="24"/>
          <w:lang w:eastAsia="fr-FR"/>
        </w:rPr>
        <w:t xml:space="preserve">[3] Taux d'épargne : part du revenu net (après impôt) non consommé placé sous forme d'actifs financiers, soit conservé en moyens de paiement liquide. </w:t>
      </w:r>
      <w:bookmarkStart w:id="19" w:name="T3"/>
      <w:bookmarkEnd w:id="19"/>
    </w:p>
    <w:p w:rsidR="003C52D4" w:rsidRDefault="003C52D4">
      <w:pPr>
        <w:rPr>
          <w:rFonts w:ascii="Arial" w:eastAsia="Times New Roman" w:hAnsi="Arial" w:cs="Times New Roman"/>
          <w:b/>
          <w:color w:val="CC0000"/>
          <w:sz w:val="30"/>
          <w:szCs w:val="24"/>
          <w:lang w:eastAsia="fr-FR"/>
        </w:rPr>
      </w:pPr>
      <w:r>
        <w:rPr>
          <w:rFonts w:ascii="Arial" w:eastAsia="Times New Roman" w:hAnsi="Arial" w:cs="Times New Roman"/>
          <w:b/>
          <w:color w:val="CC0000"/>
          <w:sz w:val="30"/>
          <w:szCs w:val="24"/>
          <w:lang w:eastAsia="fr-FR"/>
        </w:rPr>
        <w:br w:type="page"/>
      </w:r>
    </w:p>
    <w:p w:rsidR="001A0C05" w:rsidRPr="00C36744" w:rsidRDefault="001A0C05" w:rsidP="00C36744">
      <w:pPr>
        <w:spacing w:line="240" w:lineRule="auto"/>
        <w:jc w:val="both"/>
        <w:rPr>
          <w:rFonts w:ascii="Arial" w:eastAsia="Times New Roman" w:hAnsi="Arial" w:cs="Times New Roman"/>
          <w:b/>
          <w:color w:val="CC0000"/>
          <w:sz w:val="30"/>
          <w:szCs w:val="24"/>
          <w:lang w:eastAsia="fr-FR"/>
        </w:rPr>
      </w:pPr>
      <w:r w:rsidRPr="00C36744">
        <w:rPr>
          <w:rFonts w:ascii="Arial" w:eastAsia="Times New Roman" w:hAnsi="Arial" w:cs="Times New Roman"/>
          <w:b/>
          <w:color w:val="CC0000"/>
          <w:sz w:val="30"/>
          <w:szCs w:val="24"/>
          <w:lang w:eastAsia="fr-FR"/>
        </w:rPr>
        <w:lastRenderedPageBreak/>
        <w:t xml:space="preserve">Pour aller plus loin... </w:t>
      </w:r>
    </w:p>
    <w:p w:rsidR="001A0C05" w:rsidRPr="00E03D99" w:rsidRDefault="001A0C05" w:rsidP="001A0C05">
      <w:pPr>
        <w:spacing w:before="100" w:beforeAutospacing="1" w:after="100" w:afterAutospacing="1" w:line="240" w:lineRule="auto"/>
        <w:rPr>
          <w:rFonts w:ascii="Arial" w:eastAsia="Times New Roman" w:hAnsi="Arial" w:cs="Times New Roman"/>
          <w:b/>
          <w:color w:val="CC0000"/>
          <w:sz w:val="26"/>
          <w:szCs w:val="24"/>
          <w:lang w:eastAsia="fr-FR"/>
        </w:rPr>
      </w:pPr>
      <w:r w:rsidRPr="00E03D99">
        <w:rPr>
          <w:rFonts w:ascii="Arial" w:eastAsia="Times New Roman" w:hAnsi="Arial" w:cs="Times New Roman"/>
          <w:b/>
          <w:color w:val="CC0000"/>
          <w:sz w:val="26"/>
          <w:szCs w:val="24"/>
          <w:lang w:eastAsia="fr-FR"/>
        </w:rPr>
        <w:t xml:space="preserve">Webographie </w:t>
      </w:r>
    </w:p>
    <w:p w:rsidR="001A0C05" w:rsidRPr="00C36744" w:rsidRDefault="001A0C05" w:rsidP="001A0C05">
      <w:pPr>
        <w:spacing w:before="100" w:beforeAutospacing="1" w:after="100" w:afterAutospacing="1" w:line="240" w:lineRule="auto"/>
        <w:rPr>
          <w:rFonts w:ascii="Calibri" w:eastAsia="Times New Roman" w:hAnsi="Calibri" w:cs="Arial"/>
          <w:b/>
          <w:sz w:val="24"/>
          <w:szCs w:val="24"/>
          <w:lang w:eastAsia="fr-FR"/>
        </w:rPr>
      </w:pPr>
      <w:r w:rsidRPr="00C36744">
        <w:rPr>
          <w:rFonts w:ascii="Calibri" w:eastAsia="Times New Roman" w:hAnsi="Calibri" w:cs="Arial"/>
          <w:b/>
          <w:sz w:val="24"/>
          <w:szCs w:val="24"/>
          <w:lang w:eastAsia="fr-FR"/>
        </w:rPr>
        <w:t xml:space="preserve">Sur la consommation des ménages </w:t>
      </w:r>
    </w:p>
    <w:p w:rsidR="001A0C05" w:rsidRPr="003C52D4" w:rsidRDefault="001A0C05" w:rsidP="001A0C05">
      <w:pPr>
        <w:spacing w:before="100" w:beforeAutospacing="1" w:after="100" w:afterAutospacing="1" w:line="240" w:lineRule="auto"/>
        <w:rPr>
          <w:rFonts w:ascii="Calibri" w:eastAsia="Times New Roman" w:hAnsi="Calibri" w:cs="Arial"/>
          <w:sz w:val="24"/>
          <w:szCs w:val="24"/>
          <w:u w:val="single"/>
          <w:lang w:eastAsia="fr-FR"/>
        </w:rPr>
      </w:pPr>
      <w:r w:rsidRPr="00343AF3">
        <w:rPr>
          <w:rFonts w:ascii="Calibri" w:eastAsia="Times New Roman" w:hAnsi="Calibri" w:cs="Arial"/>
          <w:sz w:val="24"/>
          <w:szCs w:val="24"/>
          <w:lang w:eastAsia="fr-FR"/>
        </w:rPr>
        <w:t>Site Insee-</w:t>
      </w:r>
      <w:proofErr w:type="spellStart"/>
      <w:r w:rsidRPr="00343AF3">
        <w:rPr>
          <w:rFonts w:ascii="Calibri" w:eastAsia="Times New Roman" w:hAnsi="Calibri" w:cs="Arial"/>
          <w:sz w:val="24"/>
          <w:szCs w:val="24"/>
          <w:lang w:eastAsia="fr-FR"/>
        </w:rPr>
        <w:t>educnet</w:t>
      </w:r>
      <w:proofErr w:type="spellEnd"/>
      <w:r w:rsidRPr="00343AF3">
        <w:rPr>
          <w:rFonts w:ascii="Calibri" w:eastAsia="Times New Roman" w:hAnsi="Calibri" w:cs="Arial"/>
          <w:sz w:val="24"/>
          <w:szCs w:val="24"/>
          <w:lang w:eastAsia="fr-FR"/>
        </w:rPr>
        <w:t xml:space="preserve"> : La consommation</w:t>
      </w:r>
      <w:r w:rsidRPr="00343AF3">
        <w:rPr>
          <w:rFonts w:ascii="Calibri" w:eastAsia="Times New Roman" w:hAnsi="Calibri" w:cs="Arial"/>
          <w:sz w:val="24"/>
          <w:szCs w:val="24"/>
          <w:lang w:eastAsia="fr-FR"/>
        </w:rPr>
        <w:br/>
      </w:r>
      <w:hyperlink r:id="rId37" w:history="1">
        <w:r w:rsidRPr="003C52D4">
          <w:rPr>
            <w:rFonts w:ascii="Calibri" w:eastAsia="Times New Roman" w:hAnsi="Calibri" w:cs="Arial"/>
            <w:sz w:val="24"/>
            <w:szCs w:val="24"/>
            <w:u w:val="single"/>
            <w:lang w:eastAsia="fr-FR"/>
          </w:rPr>
          <w:t xml:space="preserve">http://www.statapprendre.education.fr/insee/cons/combien/combienaccueil.htm </w:t>
        </w:r>
      </w:hyperlink>
    </w:p>
    <w:p w:rsidR="001A0C05" w:rsidRPr="003C52D4" w:rsidRDefault="001A0C05" w:rsidP="001A0C05">
      <w:pPr>
        <w:spacing w:before="100" w:beforeAutospacing="1" w:after="100" w:afterAutospacing="1" w:line="240" w:lineRule="auto"/>
        <w:rPr>
          <w:rFonts w:ascii="Calibri" w:eastAsia="Times New Roman" w:hAnsi="Calibri" w:cs="Arial"/>
          <w:sz w:val="24"/>
          <w:szCs w:val="24"/>
          <w:u w:val="single"/>
          <w:lang w:eastAsia="fr-FR"/>
        </w:rPr>
      </w:pPr>
      <w:r w:rsidRPr="00343AF3">
        <w:rPr>
          <w:rFonts w:ascii="Calibri" w:eastAsia="Times New Roman" w:hAnsi="Calibri" w:cs="Arial"/>
          <w:sz w:val="24"/>
          <w:szCs w:val="24"/>
          <w:lang w:eastAsia="fr-FR"/>
        </w:rPr>
        <w:t>La consommation des ménages depuis cinquante ans</w:t>
      </w:r>
      <w:r w:rsidRPr="00343AF3">
        <w:rPr>
          <w:rFonts w:ascii="Calibri" w:eastAsia="Times New Roman" w:hAnsi="Calibri" w:cs="Arial"/>
          <w:sz w:val="24"/>
          <w:szCs w:val="24"/>
          <w:lang w:eastAsia="fr-FR"/>
        </w:rPr>
        <w:br/>
      </w:r>
      <w:hyperlink r:id="rId38" w:history="1">
        <w:r w:rsidRPr="003C52D4">
          <w:rPr>
            <w:rFonts w:ascii="Calibri" w:eastAsia="Times New Roman" w:hAnsi="Calibri" w:cs="Arial"/>
            <w:sz w:val="24"/>
            <w:szCs w:val="24"/>
            <w:u w:val="single"/>
            <w:lang w:eastAsia="fr-FR"/>
          </w:rPr>
          <w:t xml:space="preserve">http://www.insee.fr/fr/ffc/docs_ffc/ref/CONSO09c.PDF </w:t>
        </w:r>
      </w:hyperlink>
    </w:p>
    <w:p w:rsidR="001A0C05" w:rsidRPr="003C52D4" w:rsidRDefault="001A0C05" w:rsidP="001A0C05">
      <w:pPr>
        <w:spacing w:before="100" w:beforeAutospacing="1" w:after="100" w:afterAutospacing="1" w:line="240" w:lineRule="auto"/>
        <w:rPr>
          <w:rFonts w:ascii="Calibri" w:eastAsia="Times New Roman" w:hAnsi="Calibri" w:cs="Arial"/>
          <w:sz w:val="24"/>
          <w:szCs w:val="24"/>
          <w:u w:val="single"/>
          <w:lang w:eastAsia="fr-FR"/>
        </w:rPr>
      </w:pPr>
      <w:r w:rsidRPr="00343AF3">
        <w:rPr>
          <w:rFonts w:ascii="Calibri" w:eastAsia="Times New Roman" w:hAnsi="Calibri" w:cs="Arial"/>
          <w:sz w:val="24"/>
          <w:szCs w:val="24"/>
          <w:lang w:eastAsia="fr-FR"/>
        </w:rPr>
        <w:t>Consommation et mode de vie</w:t>
      </w:r>
      <w:r w:rsidRPr="00343AF3">
        <w:rPr>
          <w:rFonts w:ascii="Calibri" w:eastAsia="Times New Roman" w:hAnsi="Calibri" w:cs="Arial"/>
          <w:sz w:val="24"/>
          <w:szCs w:val="24"/>
          <w:lang w:eastAsia="fr-FR"/>
        </w:rPr>
        <w:br/>
      </w:r>
      <w:hyperlink r:id="rId39" w:history="1">
        <w:r w:rsidRPr="003C52D4">
          <w:rPr>
            <w:rFonts w:ascii="Calibri" w:eastAsia="Times New Roman" w:hAnsi="Calibri" w:cs="Arial"/>
            <w:sz w:val="24"/>
            <w:szCs w:val="24"/>
            <w:u w:val="single"/>
            <w:lang w:eastAsia="fr-FR"/>
          </w:rPr>
          <w:t xml:space="preserve">http://www.credoc.fr/publications/abstract.php?ref=CMV235 </w:t>
        </w:r>
      </w:hyperlink>
    </w:p>
    <w:p w:rsidR="001A0C05" w:rsidRPr="003C52D4" w:rsidRDefault="001A0C05" w:rsidP="001A0C05">
      <w:pPr>
        <w:spacing w:before="100" w:beforeAutospacing="1" w:after="100" w:afterAutospacing="1" w:line="240" w:lineRule="auto"/>
        <w:rPr>
          <w:rFonts w:ascii="Calibri" w:eastAsia="Times New Roman" w:hAnsi="Calibri" w:cs="Arial"/>
          <w:sz w:val="24"/>
          <w:szCs w:val="24"/>
          <w:u w:val="single"/>
          <w:lang w:eastAsia="fr-FR"/>
        </w:rPr>
      </w:pPr>
      <w:r w:rsidRPr="00343AF3">
        <w:rPr>
          <w:rFonts w:ascii="Calibri" w:eastAsia="Times New Roman" w:hAnsi="Calibri" w:cs="Arial"/>
          <w:sz w:val="24"/>
          <w:szCs w:val="24"/>
          <w:lang w:eastAsia="fr-FR"/>
        </w:rPr>
        <w:t xml:space="preserve">Les salaires dans les entreprises en 2008- Insee première Juin 2010 </w:t>
      </w:r>
      <w:r w:rsidRPr="00343AF3">
        <w:rPr>
          <w:rFonts w:ascii="Calibri" w:eastAsia="Times New Roman" w:hAnsi="Calibri" w:cs="Arial"/>
          <w:sz w:val="24"/>
          <w:szCs w:val="24"/>
          <w:lang w:eastAsia="fr-FR"/>
        </w:rPr>
        <w:br/>
      </w:r>
      <w:hyperlink r:id="rId40" w:history="1">
        <w:r w:rsidRPr="003C52D4">
          <w:rPr>
            <w:rFonts w:ascii="Calibri" w:eastAsia="Times New Roman" w:hAnsi="Calibri" w:cs="Arial"/>
            <w:sz w:val="24"/>
            <w:szCs w:val="24"/>
            <w:u w:val="single"/>
            <w:lang w:eastAsia="fr-FR"/>
          </w:rPr>
          <w:t xml:space="preserve">http://www.insee.fr/fr/themes/document.asp?reg_id=0&amp;ref_id=ip1300 </w:t>
        </w:r>
      </w:hyperlink>
    </w:p>
    <w:p w:rsidR="001A0C05" w:rsidRPr="003C52D4" w:rsidRDefault="001A0C05" w:rsidP="001A0C05">
      <w:pPr>
        <w:spacing w:before="100" w:beforeAutospacing="1" w:after="100" w:afterAutospacing="1" w:line="240" w:lineRule="auto"/>
        <w:rPr>
          <w:rFonts w:ascii="Calibri" w:eastAsia="Times New Roman" w:hAnsi="Calibri" w:cs="Arial"/>
          <w:sz w:val="24"/>
          <w:szCs w:val="24"/>
          <w:u w:val="single"/>
          <w:lang w:eastAsia="fr-FR"/>
        </w:rPr>
      </w:pPr>
      <w:r w:rsidRPr="00343AF3">
        <w:rPr>
          <w:rFonts w:ascii="Calibri" w:eastAsia="Times New Roman" w:hAnsi="Calibri" w:cs="Arial"/>
          <w:sz w:val="24"/>
          <w:szCs w:val="24"/>
          <w:lang w:eastAsia="fr-FR"/>
        </w:rPr>
        <w:t>Les revenus en France (Insee référence 2010</w:t>
      </w:r>
      <w:proofErr w:type="gramStart"/>
      <w:r w:rsidRPr="00343AF3">
        <w:rPr>
          <w:rFonts w:ascii="Calibri" w:eastAsia="Times New Roman" w:hAnsi="Calibri" w:cs="Arial"/>
          <w:sz w:val="24"/>
          <w:szCs w:val="24"/>
          <w:lang w:eastAsia="fr-FR"/>
        </w:rPr>
        <w:t>)</w:t>
      </w:r>
      <w:proofErr w:type="gramEnd"/>
      <w:r w:rsidRPr="00343AF3">
        <w:rPr>
          <w:rFonts w:ascii="Calibri" w:eastAsia="Times New Roman" w:hAnsi="Calibri" w:cs="Arial"/>
          <w:sz w:val="24"/>
          <w:szCs w:val="24"/>
          <w:lang w:eastAsia="fr-FR"/>
        </w:rPr>
        <w:br/>
      </w:r>
      <w:hyperlink r:id="rId41" w:history="1">
        <w:r w:rsidRPr="003C52D4">
          <w:rPr>
            <w:rFonts w:ascii="Calibri" w:eastAsia="Times New Roman" w:hAnsi="Calibri" w:cs="Arial"/>
            <w:sz w:val="24"/>
            <w:szCs w:val="24"/>
            <w:u w:val="single"/>
            <w:lang w:eastAsia="fr-FR"/>
          </w:rPr>
          <w:t xml:space="preserve">http://www.insee.fr/fr/publications-et-services/sommaire.asp?codesage=SALFRA10&amp;nivgeo=0 </w:t>
        </w:r>
      </w:hyperlink>
    </w:p>
    <w:p w:rsidR="001A0C05" w:rsidRPr="003C52D4" w:rsidRDefault="001A0C05" w:rsidP="001A0C05">
      <w:pPr>
        <w:spacing w:before="100" w:beforeAutospacing="1" w:after="100" w:afterAutospacing="1" w:line="240" w:lineRule="auto"/>
        <w:rPr>
          <w:rFonts w:ascii="Calibri" w:eastAsia="Times New Roman" w:hAnsi="Calibri" w:cs="Arial"/>
          <w:sz w:val="24"/>
          <w:szCs w:val="24"/>
          <w:u w:val="single"/>
          <w:lang w:eastAsia="fr-FR"/>
        </w:rPr>
      </w:pPr>
      <w:r w:rsidRPr="00343AF3">
        <w:rPr>
          <w:rFonts w:ascii="Calibri" w:eastAsia="Times New Roman" w:hAnsi="Calibri" w:cs="Arial"/>
          <w:sz w:val="24"/>
          <w:szCs w:val="24"/>
          <w:lang w:eastAsia="fr-FR"/>
        </w:rPr>
        <w:t>La consommation des ménages : des applications pédagogiques</w:t>
      </w:r>
      <w:r w:rsidRPr="00343AF3">
        <w:rPr>
          <w:rFonts w:ascii="Calibri" w:eastAsia="Times New Roman" w:hAnsi="Calibri" w:cs="Arial"/>
          <w:sz w:val="24"/>
          <w:szCs w:val="24"/>
          <w:lang w:eastAsia="fr-FR"/>
        </w:rPr>
        <w:br/>
      </w:r>
      <w:hyperlink r:id="rId42" w:history="1">
        <w:r w:rsidRPr="003C52D4">
          <w:rPr>
            <w:rFonts w:ascii="Calibri" w:eastAsia="Times New Roman" w:hAnsi="Calibri" w:cs="Arial"/>
            <w:sz w:val="24"/>
            <w:szCs w:val="24"/>
            <w:u w:val="single"/>
            <w:lang w:eastAsia="fr-FR"/>
          </w:rPr>
          <w:t xml:space="preserve">http://www.ses.ac-versailles.fr/spip.php?article144* </w:t>
        </w:r>
      </w:hyperlink>
    </w:p>
    <w:p w:rsidR="001A0C05" w:rsidRPr="00C36744" w:rsidRDefault="001A0C05" w:rsidP="001A0C05">
      <w:pPr>
        <w:spacing w:before="100" w:beforeAutospacing="1" w:after="100" w:afterAutospacing="1" w:line="240" w:lineRule="auto"/>
        <w:rPr>
          <w:rFonts w:ascii="Calibri" w:eastAsia="Times New Roman" w:hAnsi="Calibri" w:cs="Arial"/>
          <w:b/>
          <w:sz w:val="24"/>
          <w:szCs w:val="24"/>
          <w:lang w:eastAsia="fr-FR"/>
        </w:rPr>
      </w:pPr>
      <w:r w:rsidRPr="00C36744">
        <w:rPr>
          <w:rFonts w:ascii="Calibri" w:eastAsia="Times New Roman" w:hAnsi="Calibri" w:cs="Arial"/>
          <w:b/>
          <w:sz w:val="24"/>
          <w:szCs w:val="24"/>
          <w:lang w:eastAsia="fr-FR"/>
        </w:rPr>
        <w:t xml:space="preserve">Sur le revenu des ménages </w:t>
      </w:r>
    </w:p>
    <w:p w:rsidR="001A0C05" w:rsidRPr="003C52D4" w:rsidRDefault="001A0C05" w:rsidP="001A0C05">
      <w:pPr>
        <w:spacing w:before="100" w:beforeAutospacing="1" w:after="100" w:afterAutospacing="1" w:line="240" w:lineRule="auto"/>
        <w:rPr>
          <w:rFonts w:ascii="Calibri" w:eastAsia="Times New Roman" w:hAnsi="Calibri" w:cs="Arial"/>
          <w:sz w:val="24"/>
          <w:szCs w:val="24"/>
          <w:u w:val="single"/>
          <w:lang w:eastAsia="fr-FR"/>
        </w:rPr>
      </w:pPr>
      <w:r w:rsidRPr="00343AF3">
        <w:rPr>
          <w:rFonts w:ascii="Calibri" w:eastAsia="Times New Roman" w:hAnsi="Calibri" w:cs="Arial"/>
          <w:sz w:val="24"/>
          <w:szCs w:val="24"/>
          <w:lang w:eastAsia="fr-FR"/>
        </w:rPr>
        <w:t>Le surendettement des ménages (octobre 2009</w:t>
      </w:r>
      <w:proofErr w:type="gramStart"/>
      <w:r w:rsidRPr="00343AF3">
        <w:rPr>
          <w:rFonts w:ascii="Calibri" w:eastAsia="Times New Roman" w:hAnsi="Calibri" w:cs="Arial"/>
          <w:sz w:val="24"/>
          <w:szCs w:val="24"/>
          <w:lang w:eastAsia="fr-FR"/>
        </w:rPr>
        <w:t>)</w:t>
      </w:r>
      <w:proofErr w:type="gramEnd"/>
      <w:r w:rsidRPr="00343AF3">
        <w:rPr>
          <w:rFonts w:ascii="Calibri" w:eastAsia="Times New Roman" w:hAnsi="Calibri" w:cs="Arial"/>
          <w:sz w:val="24"/>
          <w:szCs w:val="24"/>
          <w:lang w:eastAsia="fr-FR"/>
        </w:rPr>
        <w:br/>
      </w:r>
      <w:hyperlink r:id="rId43" w:history="1">
        <w:r w:rsidRPr="003C52D4">
          <w:rPr>
            <w:rFonts w:ascii="Calibri" w:eastAsia="Times New Roman" w:hAnsi="Calibri" w:cs="Arial"/>
            <w:sz w:val="24"/>
            <w:szCs w:val="24"/>
            <w:u w:val="single"/>
            <w:lang w:eastAsia="fr-FR"/>
          </w:rPr>
          <w:t xml:space="preserve">http://www.lemonde.fr/la-crise-financiere/article/2009/10/13/avec-la-crise-le-surendettement-des-menages-explose_1253334_1101386.html </w:t>
        </w:r>
      </w:hyperlink>
    </w:p>
    <w:p w:rsidR="001A0C05" w:rsidRPr="003C52D4" w:rsidRDefault="001A0C05" w:rsidP="001A0C05">
      <w:pPr>
        <w:spacing w:before="100" w:beforeAutospacing="1" w:after="100" w:afterAutospacing="1" w:line="240" w:lineRule="auto"/>
        <w:rPr>
          <w:rFonts w:ascii="Calibri" w:eastAsia="Times New Roman" w:hAnsi="Calibri" w:cs="Arial"/>
          <w:sz w:val="24"/>
          <w:szCs w:val="24"/>
          <w:u w:val="single"/>
          <w:lang w:eastAsia="fr-FR"/>
        </w:rPr>
      </w:pPr>
      <w:r w:rsidRPr="00343AF3">
        <w:rPr>
          <w:rFonts w:ascii="Calibri" w:eastAsia="Times New Roman" w:hAnsi="Calibri" w:cs="Arial"/>
          <w:sz w:val="24"/>
          <w:szCs w:val="24"/>
          <w:lang w:eastAsia="fr-FR"/>
        </w:rPr>
        <w:t xml:space="preserve">Le surendettement </w:t>
      </w:r>
      <w:proofErr w:type="gramStart"/>
      <w:r w:rsidRPr="00343AF3">
        <w:rPr>
          <w:rFonts w:ascii="Calibri" w:eastAsia="Times New Roman" w:hAnsi="Calibri" w:cs="Arial"/>
          <w:sz w:val="24"/>
          <w:szCs w:val="24"/>
          <w:lang w:eastAsia="fr-FR"/>
        </w:rPr>
        <w:t xml:space="preserve">des particuliers </w:t>
      </w:r>
      <w:r w:rsidRPr="00343AF3">
        <w:rPr>
          <w:rFonts w:ascii="Calibri" w:eastAsia="Times New Roman" w:hAnsi="Calibri" w:cs="Arial"/>
          <w:sz w:val="24"/>
          <w:szCs w:val="24"/>
          <w:lang w:eastAsia="fr-FR"/>
        </w:rPr>
        <w:br/>
      </w:r>
      <w:hyperlink r:id="rId44" w:history="1">
        <w:r w:rsidRPr="003C52D4">
          <w:rPr>
            <w:rFonts w:ascii="Calibri" w:eastAsia="Times New Roman" w:hAnsi="Calibri" w:cs="Arial"/>
            <w:sz w:val="24"/>
            <w:szCs w:val="24"/>
            <w:u w:val="single"/>
            <w:lang w:eastAsia="fr-FR"/>
          </w:rPr>
          <w:t>http://www.ladocumentationfrancaise.fr/rapports-publics/074000707/index.shtml</w:t>
        </w:r>
        <w:proofErr w:type="gramEnd"/>
        <w:r w:rsidRPr="003C52D4">
          <w:rPr>
            <w:rFonts w:ascii="Calibri" w:eastAsia="Times New Roman" w:hAnsi="Calibri" w:cs="Arial"/>
            <w:sz w:val="24"/>
            <w:szCs w:val="24"/>
            <w:u w:val="single"/>
            <w:lang w:eastAsia="fr-FR"/>
          </w:rPr>
          <w:t xml:space="preserve"> </w:t>
        </w:r>
      </w:hyperlink>
    </w:p>
    <w:p w:rsidR="001A0C05" w:rsidRPr="00343AF3" w:rsidRDefault="001A0C05" w:rsidP="001A0C05">
      <w:pPr>
        <w:spacing w:before="100" w:beforeAutospacing="1" w:after="100" w:afterAutospacing="1" w:line="240" w:lineRule="auto"/>
        <w:rPr>
          <w:rFonts w:ascii="Calibri" w:eastAsia="Times New Roman" w:hAnsi="Calibri" w:cs="Arial"/>
          <w:sz w:val="24"/>
          <w:szCs w:val="24"/>
          <w:lang w:eastAsia="fr-FR"/>
        </w:rPr>
      </w:pPr>
      <w:r w:rsidRPr="00343AF3">
        <w:rPr>
          <w:rFonts w:ascii="Calibri" w:eastAsia="Times New Roman" w:hAnsi="Calibri" w:cs="Arial"/>
          <w:sz w:val="24"/>
          <w:szCs w:val="24"/>
          <w:lang w:eastAsia="fr-FR"/>
        </w:rPr>
        <w:t xml:space="preserve">Typologie du surendettement – Banque de France </w:t>
      </w:r>
      <w:r w:rsidRPr="00343AF3">
        <w:rPr>
          <w:rFonts w:ascii="Calibri" w:eastAsia="Times New Roman" w:hAnsi="Calibri" w:cs="Arial"/>
          <w:sz w:val="24"/>
          <w:szCs w:val="24"/>
          <w:lang w:eastAsia="fr-FR"/>
        </w:rPr>
        <w:br/>
      </w:r>
      <w:hyperlink r:id="rId45" w:history="1">
        <w:r w:rsidRPr="00343AF3">
          <w:rPr>
            <w:rFonts w:ascii="Calibri" w:eastAsia="Times New Roman" w:hAnsi="Calibri" w:cs="Arial"/>
            <w:sz w:val="24"/>
            <w:szCs w:val="24"/>
            <w:lang w:eastAsia="fr-FR"/>
          </w:rPr>
          <w:t xml:space="preserve">http://www.banque-france.fr/fr/publications/telechar/autres_telechar/typologi.pdf </w:t>
        </w:r>
      </w:hyperlink>
    </w:p>
    <w:p w:rsidR="001A0C05" w:rsidRPr="003C52D4" w:rsidRDefault="001A0C05" w:rsidP="001A0C05">
      <w:pPr>
        <w:spacing w:before="100" w:beforeAutospacing="1" w:after="100" w:afterAutospacing="1" w:line="240" w:lineRule="auto"/>
        <w:rPr>
          <w:rFonts w:ascii="Calibri" w:eastAsia="Times New Roman" w:hAnsi="Calibri" w:cs="Arial"/>
          <w:sz w:val="24"/>
          <w:szCs w:val="24"/>
          <w:u w:val="single"/>
          <w:lang w:eastAsia="fr-FR"/>
        </w:rPr>
      </w:pPr>
      <w:r w:rsidRPr="00343AF3">
        <w:rPr>
          <w:rFonts w:ascii="Calibri" w:eastAsia="Times New Roman" w:hAnsi="Calibri" w:cs="Arial"/>
          <w:sz w:val="24"/>
          <w:szCs w:val="24"/>
          <w:lang w:eastAsia="fr-FR"/>
        </w:rPr>
        <w:t>La pauvreté en France (septembre 2010</w:t>
      </w:r>
      <w:proofErr w:type="gramStart"/>
      <w:r w:rsidRPr="00343AF3">
        <w:rPr>
          <w:rFonts w:ascii="Calibri" w:eastAsia="Times New Roman" w:hAnsi="Calibri" w:cs="Arial"/>
          <w:sz w:val="24"/>
          <w:szCs w:val="24"/>
          <w:lang w:eastAsia="fr-FR"/>
        </w:rPr>
        <w:t>)</w:t>
      </w:r>
      <w:proofErr w:type="gramEnd"/>
      <w:r w:rsidRPr="00343AF3">
        <w:rPr>
          <w:rFonts w:ascii="Calibri" w:eastAsia="Times New Roman" w:hAnsi="Calibri" w:cs="Arial"/>
          <w:sz w:val="24"/>
          <w:szCs w:val="24"/>
          <w:lang w:eastAsia="fr-FR"/>
        </w:rPr>
        <w:br/>
      </w:r>
      <w:hyperlink r:id="rId46" w:tgtFrame="_blank" w:history="1">
        <w:r w:rsidRPr="003C52D4">
          <w:rPr>
            <w:rFonts w:ascii="Calibri" w:eastAsia="Times New Roman" w:hAnsi="Calibri" w:cs="Arial"/>
            <w:sz w:val="24"/>
            <w:szCs w:val="24"/>
            <w:u w:val="single"/>
            <w:lang w:eastAsia="fr-FR"/>
          </w:rPr>
          <w:t>http://www.inegalites.fr/spip.php?article270</w:t>
        </w:r>
      </w:hyperlink>
    </w:p>
    <w:p w:rsidR="001A0C05" w:rsidRPr="00C36744" w:rsidRDefault="001A0C05" w:rsidP="001A0C05">
      <w:pPr>
        <w:spacing w:before="100" w:beforeAutospacing="1" w:after="100" w:afterAutospacing="1" w:line="240" w:lineRule="auto"/>
        <w:rPr>
          <w:rFonts w:ascii="Calibri" w:eastAsia="Times New Roman" w:hAnsi="Calibri" w:cs="Arial"/>
          <w:b/>
          <w:sz w:val="24"/>
          <w:szCs w:val="24"/>
          <w:lang w:eastAsia="fr-FR"/>
        </w:rPr>
      </w:pPr>
      <w:r w:rsidRPr="00C36744">
        <w:rPr>
          <w:rFonts w:ascii="Calibri" w:eastAsia="Times New Roman" w:hAnsi="Calibri" w:cs="Arial"/>
          <w:b/>
          <w:sz w:val="24"/>
          <w:szCs w:val="24"/>
          <w:lang w:eastAsia="fr-FR"/>
        </w:rPr>
        <w:t xml:space="preserve">Sur l'épargne </w:t>
      </w:r>
    </w:p>
    <w:p w:rsidR="001A0C05" w:rsidRPr="003C52D4" w:rsidRDefault="001A0C05" w:rsidP="001A0C05">
      <w:pPr>
        <w:spacing w:before="100" w:beforeAutospacing="1" w:after="100" w:afterAutospacing="1" w:line="240" w:lineRule="auto"/>
        <w:rPr>
          <w:rFonts w:ascii="Calibri" w:eastAsia="Times New Roman" w:hAnsi="Calibri" w:cs="Arial"/>
          <w:sz w:val="24"/>
          <w:szCs w:val="24"/>
          <w:u w:val="single"/>
          <w:lang w:eastAsia="fr-FR"/>
        </w:rPr>
      </w:pPr>
      <w:r w:rsidRPr="00343AF3">
        <w:rPr>
          <w:rFonts w:ascii="Calibri" w:eastAsia="Times New Roman" w:hAnsi="Calibri" w:cs="Arial"/>
          <w:sz w:val="24"/>
          <w:szCs w:val="24"/>
          <w:lang w:eastAsia="fr-FR"/>
        </w:rPr>
        <w:t xml:space="preserve">L'épargne salariale </w:t>
      </w:r>
      <w:r w:rsidRPr="00343AF3">
        <w:rPr>
          <w:rFonts w:ascii="Calibri" w:eastAsia="Times New Roman" w:hAnsi="Calibri" w:cs="Arial"/>
          <w:sz w:val="24"/>
          <w:szCs w:val="24"/>
          <w:lang w:eastAsia="fr-FR"/>
        </w:rPr>
        <w:br/>
      </w:r>
      <w:hyperlink r:id="rId47" w:history="1">
        <w:r w:rsidRPr="003C52D4">
          <w:rPr>
            <w:rFonts w:ascii="Calibri" w:eastAsia="Times New Roman" w:hAnsi="Calibri" w:cs="Arial"/>
            <w:sz w:val="24"/>
            <w:szCs w:val="24"/>
            <w:u w:val="single"/>
            <w:lang w:eastAsia="fr-FR"/>
          </w:rPr>
          <w:t xml:space="preserve">http://www.ladocumentationfrancaise.fr/dossiers/epargne-salariale/index.shtml </w:t>
        </w:r>
      </w:hyperlink>
    </w:p>
    <w:p w:rsidR="001A0C05" w:rsidRPr="003C52D4" w:rsidRDefault="001A0C05" w:rsidP="001A0C05">
      <w:pPr>
        <w:spacing w:before="100" w:beforeAutospacing="1" w:after="100" w:afterAutospacing="1" w:line="240" w:lineRule="auto"/>
        <w:rPr>
          <w:rFonts w:ascii="Calibri" w:eastAsia="Times New Roman" w:hAnsi="Calibri" w:cs="Arial"/>
          <w:sz w:val="24"/>
          <w:szCs w:val="24"/>
          <w:u w:val="single"/>
          <w:lang w:eastAsia="fr-FR"/>
        </w:rPr>
      </w:pPr>
      <w:r w:rsidRPr="00343AF3">
        <w:rPr>
          <w:rFonts w:ascii="Calibri" w:eastAsia="Times New Roman" w:hAnsi="Calibri" w:cs="Arial"/>
          <w:sz w:val="24"/>
          <w:szCs w:val="24"/>
          <w:lang w:eastAsia="fr-FR"/>
        </w:rPr>
        <w:t xml:space="preserve">Le rôle de l'épargne </w:t>
      </w:r>
      <w:r w:rsidRPr="00343AF3">
        <w:rPr>
          <w:rFonts w:ascii="Calibri" w:eastAsia="Times New Roman" w:hAnsi="Calibri" w:cs="Arial"/>
          <w:sz w:val="24"/>
          <w:szCs w:val="24"/>
          <w:lang w:eastAsia="fr-FR"/>
        </w:rPr>
        <w:br/>
      </w:r>
      <w:hyperlink r:id="rId48" w:history="1">
        <w:r w:rsidRPr="003C52D4">
          <w:rPr>
            <w:rFonts w:ascii="Calibri" w:eastAsia="Times New Roman" w:hAnsi="Calibri" w:cs="Arial"/>
            <w:sz w:val="24"/>
            <w:szCs w:val="24"/>
            <w:u w:val="single"/>
            <w:lang w:eastAsia="fr-FR"/>
          </w:rPr>
          <w:t xml:space="preserve">http://www.christian-biales.net/documents/epargne.pdf </w:t>
        </w:r>
      </w:hyperlink>
    </w:p>
    <w:p w:rsidR="003C52D4" w:rsidRDefault="003C52D4">
      <w:pPr>
        <w:rPr>
          <w:rFonts w:ascii="Calibri" w:eastAsia="Times New Roman" w:hAnsi="Calibri" w:cs="Arial"/>
          <w:b/>
          <w:color w:val="C00000"/>
          <w:sz w:val="24"/>
          <w:szCs w:val="24"/>
          <w:lang w:eastAsia="fr-FR"/>
        </w:rPr>
      </w:pPr>
      <w:r>
        <w:rPr>
          <w:rFonts w:ascii="Calibri" w:eastAsia="Times New Roman" w:hAnsi="Calibri" w:cs="Arial"/>
          <w:b/>
          <w:color w:val="C00000"/>
          <w:sz w:val="24"/>
          <w:szCs w:val="24"/>
          <w:lang w:eastAsia="fr-FR"/>
        </w:rPr>
        <w:br w:type="page"/>
      </w:r>
    </w:p>
    <w:p w:rsidR="001A0C05" w:rsidRPr="00C36744" w:rsidRDefault="001A0C05" w:rsidP="001A0C05">
      <w:pPr>
        <w:spacing w:before="100" w:beforeAutospacing="1" w:afterAutospacing="1" w:line="240" w:lineRule="auto"/>
        <w:rPr>
          <w:rFonts w:ascii="Calibri" w:eastAsia="Times New Roman" w:hAnsi="Calibri" w:cs="Arial"/>
          <w:b/>
          <w:color w:val="C00000"/>
          <w:sz w:val="24"/>
          <w:szCs w:val="24"/>
          <w:lang w:eastAsia="fr-FR"/>
        </w:rPr>
      </w:pPr>
      <w:r w:rsidRPr="00C36744">
        <w:rPr>
          <w:rFonts w:ascii="Calibri" w:eastAsia="Times New Roman" w:hAnsi="Calibri" w:cs="Arial"/>
          <w:b/>
          <w:color w:val="C00000"/>
          <w:sz w:val="24"/>
          <w:szCs w:val="24"/>
          <w:lang w:eastAsia="fr-FR"/>
        </w:rPr>
        <w:lastRenderedPageBreak/>
        <w:t xml:space="preserve">Bibliographie </w:t>
      </w:r>
    </w:p>
    <w:tbl>
      <w:tblPr>
        <w:tblW w:w="4531" w:type="pct"/>
        <w:jc w:val="center"/>
        <w:tblCellSpacing w:w="15" w:type="dxa"/>
        <w:tblCellMar>
          <w:left w:w="0" w:type="dxa"/>
          <w:right w:w="0" w:type="dxa"/>
        </w:tblCellMar>
        <w:tblLook w:val="04A0" w:firstRow="1" w:lastRow="0" w:firstColumn="1" w:lastColumn="0" w:noHBand="0" w:noVBand="1"/>
      </w:tblPr>
      <w:tblGrid>
        <w:gridCol w:w="3855"/>
        <w:gridCol w:w="2508"/>
        <w:gridCol w:w="2060"/>
        <w:gridCol w:w="1116"/>
      </w:tblGrid>
      <w:tr w:rsidR="00E77D5A" w:rsidRPr="007F6771" w:rsidTr="00A7522E">
        <w:trPr>
          <w:tblCellSpacing w:w="15" w:type="dxa"/>
          <w:jc w:val="center"/>
        </w:trPr>
        <w:tc>
          <w:tcPr>
            <w:tcW w:w="3809" w:type="dxa"/>
            <w:shd w:val="clear" w:color="auto" w:fill="E6E6F2"/>
            <w:hideMark/>
          </w:tcPr>
          <w:p w:rsidR="00E77D5A" w:rsidRPr="007F6771" w:rsidRDefault="00E77D5A" w:rsidP="001A0C05">
            <w:pPr>
              <w:spacing w:line="240" w:lineRule="auto"/>
              <w:rPr>
                <w:rFonts w:ascii="Calibri" w:eastAsia="Times New Roman" w:hAnsi="Calibri" w:cs="Arial"/>
                <w:b/>
                <w:sz w:val="24"/>
                <w:szCs w:val="24"/>
                <w:lang w:eastAsia="fr-FR"/>
              </w:rPr>
            </w:pPr>
            <w:r w:rsidRPr="007F6771">
              <w:rPr>
                <w:rFonts w:ascii="Calibri" w:eastAsia="Times New Roman" w:hAnsi="Calibri" w:cs="Arial"/>
                <w:b/>
                <w:sz w:val="24"/>
                <w:szCs w:val="24"/>
                <w:lang w:eastAsia="fr-FR"/>
              </w:rPr>
              <w:t xml:space="preserve">Titre </w:t>
            </w:r>
          </w:p>
        </w:tc>
        <w:tc>
          <w:tcPr>
            <w:tcW w:w="2478" w:type="dxa"/>
            <w:shd w:val="clear" w:color="auto" w:fill="FFFFCC"/>
            <w:hideMark/>
          </w:tcPr>
          <w:p w:rsidR="00E77D5A" w:rsidRPr="007F6771" w:rsidRDefault="00E77D5A" w:rsidP="001A0C05">
            <w:pPr>
              <w:spacing w:before="100" w:beforeAutospacing="1" w:after="100" w:afterAutospacing="1" w:line="240" w:lineRule="auto"/>
              <w:rPr>
                <w:rFonts w:ascii="Calibri" w:eastAsia="Times New Roman" w:hAnsi="Calibri" w:cs="Arial"/>
                <w:b/>
                <w:sz w:val="24"/>
                <w:szCs w:val="24"/>
                <w:lang w:eastAsia="fr-FR"/>
              </w:rPr>
            </w:pPr>
            <w:r w:rsidRPr="007F6771">
              <w:rPr>
                <w:rFonts w:ascii="Calibri" w:eastAsia="Times New Roman" w:hAnsi="Calibri" w:cs="Arial"/>
                <w:b/>
                <w:sz w:val="24"/>
                <w:szCs w:val="24"/>
                <w:lang w:eastAsia="fr-FR"/>
              </w:rPr>
              <w:t>Editeur</w:t>
            </w:r>
          </w:p>
        </w:tc>
        <w:tc>
          <w:tcPr>
            <w:tcW w:w="2030" w:type="dxa"/>
            <w:shd w:val="clear" w:color="auto" w:fill="E6E6F2"/>
            <w:hideMark/>
          </w:tcPr>
          <w:p w:rsidR="00E77D5A" w:rsidRPr="007F6771" w:rsidRDefault="00E77D5A" w:rsidP="001A0C05">
            <w:pPr>
              <w:spacing w:line="240" w:lineRule="auto"/>
              <w:rPr>
                <w:rFonts w:ascii="Calibri" w:eastAsia="Times New Roman" w:hAnsi="Calibri" w:cs="Arial"/>
                <w:b/>
                <w:sz w:val="24"/>
                <w:szCs w:val="24"/>
                <w:lang w:eastAsia="fr-FR"/>
              </w:rPr>
            </w:pPr>
            <w:r w:rsidRPr="007F6771">
              <w:rPr>
                <w:rFonts w:ascii="Calibri" w:eastAsia="Times New Roman" w:hAnsi="Calibri" w:cs="Arial"/>
                <w:b/>
                <w:sz w:val="24"/>
                <w:szCs w:val="24"/>
                <w:lang w:eastAsia="fr-FR"/>
              </w:rPr>
              <w:t>Auteur</w:t>
            </w:r>
          </w:p>
        </w:tc>
        <w:tc>
          <w:tcPr>
            <w:tcW w:w="1071" w:type="dxa"/>
            <w:shd w:val="clear" w:color="auto" w:fill="E6E6F2"/>
          </w:tcPr>
          <w:p w:rsidR="00E77D5A" w:rsidRPr="007F6771" w:rsidRDefault="00E77D5A" w:rsidP="00E77D5A">
            <w:pPr>
              <w:spacing w:line="240" w:lineRule="auto"/>
              <w:jc w:val="center"/>
              <w:rPr>
                <w:rFonts w:ascii="Calibri" w:eastAsia="Times New Roman" w:hAnsi="Calibri" w:cs="Arial"/>
                <w:b/>
                <w:sz w:val="24"/>
                <w:szCs w:val="24"/>
                <w:lang w:eastAsia="fr-FR"/>
              </w:rPr>
            </w:pPr>
            <w:r w:rsidRPr="007F6771">
              <w:rPr>
                <w:rFonts w:ascii="Calibri" w:eastAsia="Times New Roman" w:hAnsi="Calibri" w:cs="Arial"/>
                <w:b/>
                <w:sz w:val="24"/>
                <w:szCs w:val="24"/>
                <w:lang w:eastAsia="fr-FR"/>
              </w:rPr>
              <w:t>Année</w:t>
            </w:r>
          </w:p>
        </w:tc>
      </w:tr>
      <w:tr w:rsidR="00106331" w:rsidRPr="00343AF3" w:rsidTr="00A7522E">
        <w:trPr>
          <w:tblCellSpacing w:w="15" w:type="dxa"/>
          <w:jc w:val="center"/>
        </w:trPr>
        <w:tc>
          <w:tcPr>
            <w:tcW w:w="3809" w:type="dxa"/>
            <w:shd w:val="clear" w:color="auto" w:fill="E6E6F2"/>
            <w:hideMark/>
          </w:tcPr>
          <w:p w:rsidR="00106331" w:rsidRPr="00343AF3" w:rsidRDefault="00106331" w:rsidP="001A0C05">
            <w:pPr>
              <w:spacing w:line="240" w:lineRule="auto"/>
              <w:rPr>
                <w:rFonts w:ascii="Calibri" w:eastAsia="Times New Roman" w:hAnsi="Calibri" w:cs="Arial"/>
                <w:sz w:val="24"/>
                <w:szCs w:val="24"/>
                <w:lang w:eastAsia="fr-FR"/>
              </w:rPr>
            </w:pPr>
            <w:r w:rsidRPr="00343AF3">
              <w:rPr>
                <w:rFonts w:ascii="Calibri" w:eastAsia="Times New Roman" w:hAnsi="Calibri" w:cs="Arial"/>
                <w:sz w:val="24"/>
                <w:szCs w:val="24"/>
                <w:lang w:eastAsia="fr-FR"/>
              </w:rPr>
              <w:t xml:space="preserve">La société des consommateurs </w:t>
            </w:r>
          </w:p>
        </w:tc>
        <w:tc>
          <w:tcPr>
            <w:tcW w:w="2478" w:type="dxa"/>
            <w:shd w:val="clear" w:color="auto" w:fill="FFFFCC"/>
            <w:hideMark/>
          </w:tcPr>
          <w:p w:rsidR="00106331" w:rsidRPr="00343AF3" w:rsidRDefault="00106331" w:rsidP="001A0C05">
            <w:pPr>
              <w:spacing w:line="240" w:lineRule="auto"/>
              <w:rPr>
                <w:rFonts w:ascii="Calibri" w:eastAsia="Times New Roman" w:hAnsi="Calibri" w:cs="Arial"/>
                <w:sz w:val="24"/>
                <w:szCs w:val="24"/>
                <w:lang w:eastAsia="fr-FR"/>
              </w:rPr>
            </w:pPr>
            <w:r w:rsidRPr="00343AF3">
              <w:rPr>
                <w:rFonts w:ascii="Calibri" w:eastAsia="Times New Roman" w:hAnsi="Calibri" w:cs="Arial"/>
                <w:sz w:val="24"/>
                <w:szCs w:val="24"/>
                <w:lang w:eastAsia="fr-FR"/>
              </w:rPr>
              <w:t xml:space="preserve">O. Jacob </w:t>
            </w:r>
          </w:p>
        </w:tc>
        <w:tc>
          <w:tcPr>
            <w:tcW w:w="2030" w:type="dxa"/>
            <w:shd w:val="clear" w:color="auto" w:fill="E6E6F2"/>
            <w:hideMark/>
          </w:tcPr>
          <w:p w:rsidR="00106331" w:rsidRPr="00343AF3" w:rsidRDefault="00106331" w:rsidP="001A0C05">
            <w:pPr>
              <w:spacing w:line="240" w:lineRule="auto"/>
              <w:rPr>
                <w:rFonts w:ascii="Calibri" w:eastAsia="Times New Roman" w:hAnsi="Calibri" w:cs="Arial"/>
                <w:sz w:val="24"/>
                <w:szCs w:val="24"/>
                <w:lang w:eastAsia="fr-FR"/>
              </w:rPr>
            </w:pPr>
            <w:r w:rsidRPr="00343AF3">
              <w:rPr>
                <w:rFonts w:ascii="Calibri" w:eastAsia="Times New Roman" w:hAnsi="Calibri" w:cs="Arial"/>
                <w:sz w:val="24"/>
                <w:szCs w:val="24"/>
                <w:lang w:eastAsia="fr-FR"/>
              </w:rPr>
              <w:t>R. Rochefort</w:t>
            </w:r>
          </w:p>
        </w:tc>
        <w:tc>
          <w:tcPr>
            <w:tcW w:w="1071" w:type="dxa"/>
            <w:shd w:val="clear" w:color="auto" w:fill="E6E6F2"/>
          </w:tcPr>
          <w:p w:rsidR="00106331" w:rsidRPr="00343AF3" w:rsidRDefault="00106331" w:rsidP="00A7522E">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Sept 2001</w:t>
            </w:r>
          </w:p>
        </w:tc>
      </w:tr>
      <w:tr w:rsidR="00106331" w:rsidRPr="00343AF3" w:rsidTr="00A7522E">
        <w:trPr>
          <w:tblCellSpacing w:w="15" w:type="dxa"/>
          <w:jc w:val="center"/>
        </w:trPr>
        <w:tc>
          <w:tcPr>
            <w:tcW w:w="3809" w:type="dxa"/>
            <w:shd w:val="clear" w:color="auto" w:fill="E6E6F2"/>
            <w:hideMark/>
          </w:tcPr>
          <w:p w:rsidR="00106331" w:rsidRPr="00343AF3" w:rsidRDefault="00106331" w:rsidP="001A0C05">
            <w:pPr>
              <w:spacing w:line="240" w:lineRule="auto"/>
              <w:rPr>
                <w:rFonts w:ascii="Calibri" w:eastAsia="Times New Roman" w:hAnsi="Calibri" w:cs="Arial"/>
                <w:sz w:val="24"/>
                <w:szCs w:val="24"/>
                <w:lang w:eastAsia="fr-FR"/>
              </w:rPr>
            </w:pPr>
            <w:r w:rsidRPr="00343AF3">
              <w:rPr>
                <w:rFonts w:ascii="Calibri" w:eastAsia="Times New Roman" w:hAnsi="Calibri" w:cs="Arial"/>
                <w:sz w:val="24"/>
                <w:szCs w:val="24"/>
                <w:lang w:eastAsia="fr-FR"/>
              </w:rPr>
              <w:t>Sociologie de la consommation</w:t>
            </w:r>
          </w:p>
        </w:tc>
        <w:tc>
          <w:tcPr>
            <w:tcW w:w="2478" w:type="dxa"/>
            <w:shd w:val="clear" w:color="auto" w:fill="FFFFCC"/>
            <w:hideMark/>
          </w:tcPr>
          <w:p w:rsidR="00106331" w:rsidRPr="00343AF3" w:rsidRDefault="00106331" w:rsidP="001A0C05">
            <w:pPr>
              <w:spacing w:line="240" w:lineRule="auto"/>
              <w:rPr>
                <w:rFonts w:ascii="Calibri" w:eastAsia="Times New Roman" w:hAnsi="Calibri" w:cs="Arial"/>
                <w:sz w:val="24"/>
                <w:szCs w:val="24"/>
                <w:lang w:eastAsia="fr-FR"/>
              </w:rPr>
            </w:pPr>
            <w:r w:rsidRPr="00343AF3">
              <w:rPr>
                <w:rFonts w:ascii="Calibri" w:eastAsia="Times New Roman" w:hAnsi="Calibri" w:cs="Arial"/>
                <w:sz w:val="24"/>
                <w:szCs w:val="24"/>
                <w:lang w:eastAsia="fr-FR"/>
              </w:rPr>
              <w:t>Repère – La découverte</w:t>
            </w:r>
          </w:p>
        </w:tc>
        <w:tc>
          <w:tcPr>
            <w:tcW w:w="2030" w:type="dxa"/>
            <w:shd w:val="clear" w:color="auto" w:fill="E6E6F2"/>
            <w:hideMark/>
          </w:tcPr>
          <w:p w:rsidR="00106331" w:rsidRPr="00343AF3" w:rsidRDefault="00106331" w:rsidP="001A0C05">
            <w:pPr>
              <w:spacing w:line="240" w:lineRule="auto"/>
              <w:rPr>
                <w:rFonts w:ascii="Calibri" w:eastAsia="Times New Roman" w:hAnsi="Calibri" w:cs="Arial"/>
                <w:sz w:val="24"/>
                <w:szCs w:val="24"/>
                <w:lang w:eastAsia="fr-FR"/>
              </w:rPr>
            </w:pPr>
            <w:r w:rsidRPr="00343AF3">
              <w:rPr>
                <w:rFonts w:ascii="Calibri" w:eastAsia="Times New Roman" w:hAnsi="Calibri" w:cs="Arial"/>
                <w:sz w:val="24"/>
                <w:szCs w:val="24"/>
                <w:lang w:eastAsia="fr-FR"/>
              </w:rPr>
              <w:t xml:space="preserve">N. </w:t>
            </w:r>
            <w:proofErr w:type="spellStart"/>
            <w:r w:rsidRPr="00343AF3">
              <w:rPr>
                <w:rFonts w:ascii="Calibri" w:eastAsia="Times New Roman" w:hAnsi="Calibri" w:cs="Arial"/>
                <w:sz w:val="24"/>
                <w:szCs w:val="24"/>
                <w:lang w:eastAsia="fr-FR"/>
              </w:rPr>
              <w:t>Hepin</w:t>
            </w:r>
            <w:proofErr w:type="spellEnd"/>
          </w:p>
        </w:tc>
        <w:tc>
          <w:tcPr>
            <w:tcW w:w="1071" w:type="dxa"/>
            <w:shd w:val="clear" w:color="auto" w:fill="E6E6F2"/>
          </w:tcPr>
          <w:p w:rsidR="00106331" w:rsidRPr="00343AF3" w:rsidRDefault="00106331" w:rsidP="00E77D5A">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Avril 2004</w:t>
            </w:r>
          </w:p>
        </w:tc>
      </w:tr>
      <w:tr w:rsidR="00106331" w:rsidRPr="00343AF3" w:rsidTr="00A7522E">
        <w:trPr>
          <w:tblCellSpacing w:w="15" w:type="dxa"/>
          <w:jc w:val="center"/>
        </w:trPr>
        <w:tc>
          <w:tcPr>
            <w:tcW w:w="3809" w:type="dxa"/>
            <w:shd w:val="clear" w:color="auto" w:fill="E6E6F2"/>
            <w:hideMark/>
          </w:tcPr>
          <w:p w:rsidR="00106331" w:rsidRPr="00343AF3" w:rsidRDefault="00106331" w:rsidP="001A0C05">
            <w:pPr>
              <w:spacing w:line="240" w:lineRule="auto"/>
              <w:rPr>
                <w:rFonts w:ascii="Calibri" w:eastAsia="Times New Roman" w:hAnsi="Calibri" w:cs="Arial"/>
                <w:sz w:val="24"/>
                <w:szCs w:val="24"/>
                <w:lang w:eastAsia="fr-FR"/>
              </w:rPr>
            </w:pPr>
            <w:r w:rsidRPr="00343AF3">
              <w:rPr>
                <w:rFonts w:ascii="Calibri" w:eastAsia="Times New Roman" w:hAnsi="Calibri" w:cs="Arial"/>
                <w:sz w:val="24"/>
                <w:szCs w:val="24"/>
                <w:lang w:eastAsia="fr-FR"/>
              </w:rPr>
              <w:t>La consommation</w:t>
            </w:r>
          </w:p>
        </w:tc>
        <w:tc>
          <w:tcPr>
            <w:tcW w:w="2478" w:type="dxa"/>
            <w:shd w:val="clear" w:color="auto" w:fill="FFFFCC"/>
            <w:hideMark/>
          </w:tcPr>
          <w:p w:rsidR="00106331" w:rsidRPr="00343AF3" w:rsidRDefault="00106331" w:rsidP="001A0C05">
            <w:pPr>
              <w:spacing w:line="240" w:lineRule="auto"/>
              <w:rPr>
                <w:rFonts w:ascii="Calibri" w:eastAsia="Times New Roman" w:hAnsi="Calibri" w:cs="Arial"/>
                <w:sz w:val="24"/>
                <w:szCs w:val="24"/>
                <w:lang w:eastAsia="fr-FR"/>
              </w:rPr>
            </w:pPr>
            <w:r w:rsidRPr="00343AF3">
              <w:rPr>
                <w:rFonts w:ascii="Calibri" w:eastAsia="Times New Roman" w:hAnsi="Calibri" w:cs="Arial"/>
                <w:sz w:val="24"/>
                <w:szCs w:val="24"/>
                <w:lang w:eastAsia="fr-FR"/>
              </w:rPr>
              <w:t>PUF</w:t>
            </w:r>
          </w:p>
        </w:tc>
        <w:tc>
          <w:tcPr>
            <w:tcW w:w="2030" w:type="dxa"/>
            <w:shd w:val="clear" w:color="auto" w:fill="E6E6F2"/>
            <w:hideMark/>
          </w:tcPr>
          <w:p w:rsidR="00106331" w:rsidRPr="00343AF3" w:rsidRDefault="00106331" w:rsidP="001A0C05">
            <w:pPr>
              <w:spacing w:line="240" w:lineRule="auto"/>
              <w:rPr>
                <w:rFonts w:ascii="Calibri" w:eastAsia="Times New Roman" w:hAnsi="Calibri" w:cs="Arial"/>
                <w:sz w:val="24"/>
                <w:szCs w:val="24"/>
                <w:lang w:eastAsia="fr-FR"/>
              </w:rPr>
            </w:pPr>
            <w:r w:rsidRPr="00343AF3">
              <w:rPr>
                <w:rFonts w:ascii="Calibri" w:eastAsia="Times New Roman" w:hAnsi="Calibri" w:cs="Arial"/>
                <w:sz w:val="24"/>
                <w:szCs w:val="24"/>
                <w:lang w:eastAsia="fr-FR"/>
              </w:rPr>
              <w:t xml:space="preserve">D. </w:t>
            </w:r>
            <w:proofErr w:type="spellStart"/>
            <w:r w:rsidRPr="00343AF3">
              <w:rPr>
                <w:rFonts w:ascii="Calibri" w:eastAsia="Times New Roman" w:hAnsi="Calibri" w:cs="Arial"/>
                <w:sz w:val="24"/>
                <w:szCs w:val="24"/>
                <w:lang w:eastAsia="fr-FR"/>
              </w:rPr>
              <w:t>Desjeux</w:t>
            </w:r>
            <w:proofErr w:type="spellEnd"/>
          </w:p>
        </w:tc>
        <w:tc>
          <w:tcPr>
            <w:tcW w:w="1071" w:type="dxa"/>
            <w:shd w:val="clear" w:color="auto" w:fill="E6E6F2"/>
          </w:tcPr>
          <w:p w:rsidR="00106331" w:rsidRPr="00343AF3" w:rsidRDefault="00106331" w:rsidP="00A7522E">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Avril 2006</w:t>
            </w:r>
          </w:p>
        </w:tc>
      </w:tr>
      <w:tr w:rsidR="00106331" w:rsidRPr="00343AF3" w:rsidTr="00A7522E">
        <w:trPr>
          <w:tblCellSpacing w:w="15" w:type="dxa"/>
          <w:jc w:val="center"/>
        </w:trPr>
        <w:tc>
          <w:tcPr>
            <w:tcW w:w="3809" w:type="dxa"/>
            <w:shd w:val="clear" w:color="auto" w:fill="E6E6F2"/>
            <w:hideMark/>
          </w:tcPr>
          <w:p w:rsidR="00106331" w:rsidRPr="00343AF3" w:rsidRDefault="00106331" w:rsidP="001A0C05">
            <w:pPr>
              <w:spacing w:line="240" w:lineRule="auto"/>
              <w:rPr>
                <w:rFonts w:ascii="Calibri" w:eastAsia="Times New Roman" w:hAnsi="Calibri" w:cs="Arial"/>
                <w:sz w:val="24"/>
                <w:szCs w:val="24"/>
                <w:lang w:eastAsia="fr-FR"/>
              </w:rPr>
            </w:pPr>
            <w:r w:rsidRPr="00343AF3">
              <w:rPr>
                <w:rFonts w:ascii="Calibri" w:eastAsia="Times New Roman" w:hAnsi="Calibri" w:cs="Arial"/>
                <w:sz w:val="24"/>
                <w:szCs w:val="24"/>
                <w:lang w:eastAsia="fr-FR"/>
              </w:rPr>
              <w:t>Macroéconomie, consommation et épargne</w:t>
            </w:r>
          </w:p>
        </w:tc>
        <w:tc>
          <w:tcPr>
            <w:tcW w:w="2478" w:type="dxa"/>
            <w:shd w:val="clear" w:color="auto" w:fill="FFFFCC"/>
            <w:hideMark/>
          </w:tcPr>
          <w:p w:rsidR="00106331" w:rsidRPr="00343AF3" w:rsidRDefault="00106331" w:rsidP="001A0C05">
            <w:pPr>
              <w:spacing w:line="240" w:lineRule="auto"/>
              <w:rPr>
                <w:rFonts w:ascii="Calibri" w:eastAsia="Times New Roman" w:hAnsi="Calibri" w:cs="Arial"/>
                <w:sz w:val="24"/>
                <w:szCs w:val="24"/>
                <w:lang w:eastAsia="fr-FR"/>
              </w:rPr>
            </w:pPr>
            <w:r w:rsidRPr="00343AF3">
              <w:rPr>
                <w:rFonts w:ascii="Calibri" w:eastAsia="Times New Roman" w:hAnsi="Calibri" w:cs="Arial"/>
                <w:sz w:val="24"/>
                <w:szCs w:val="24"/>
                <w:lang w:eastAsia="fr-FR"/>
              </w:rPr>
              <w:t>Repère – La découverte</w:t>
            </w:r>
          </w:p>
        </w:tc>
        <w:tc>
          <w:tcPr>
            <w:tcW w:w="2030" w:type="dxa"/>
            <w:shd w:val="clear" w:color="auto" w:fill="E6E6F2"/>
            <w:hideMark/>
          </w:tcPr>
          <w:p w:rsidR="00106331" w:rsidRPr="00343AF3" w:rsidRDefault="00106331" w:rsidP="001A0C05">
            <w:pPr>
              <w:spacing w:line="240" w:lineRule="auto"/>
              <w:rPr>
                <w:rFonts w:ascii="Calibri" w:eastAsia="Times New Roman" w:hAnsi="Calibri" w:cs="Arial"/>
                <w:sz w:val="24"/>
                <w:szCs w:val="24"/>
                <w:lang w:eastAsia="fr-FR"/>
              </w:rPr>
            </w:pPr>
            <w:r w:rsidRPr="00343AF3">
              <w:rPr>
                <w:rFonts w:ascii="Calibri" w:eastAsia="Times New Roman" w:hAnsi="Calibri" w:cs="Arial"/>
                <w:sz w:val="24"/>
                <w:szCs w:val="24"/>
                <w:lang w:eastAsia="fr-FR"/>
              </w:rPr>
              <w:t xml:space="preserve">P. </w:t>
            </w:r>
            <w:proofErr w:type="spellStart"/>
            <w:r w:rsidRPr="00343AF3">
              <w:rPr>
                <w:rFonts w:ascii="Calibri" w:eastAsia="Times New Roman" w:hAnsi="Calibri" w:cs="Arial"/>
                <w:sz w:val="24"/>
                <w:szCs w:val="24"/>
                <w:lang w:eastAsia="fr-FR"/>
              </w:rPr>
              <w:t>Villieu</w:t>
            </w:r>
            <w:proofErr w:type="spellEnd"/>
          </w:p>
        </w:tc>
        <w:tc>
          <w:tcPr>
            <w:tcW w:w="1071" w:type="dxa"/>
            <w:shd w:val="clear" w:color="auto" w:fill="E6E6F2"/>
          </w:tcPr>
          <w:p w:rsidR="00106331" w:rsidRPr="00343AF3" w:rsidRDefault="00106331" w:rsidP="00E77D5A">
            <w:pPr>
              <w:spacing w:line="240" w:lineRule="auto"/>
              <w:jc w:val="center"/>
              <w:rPr>
                <w:rFonts w:ascii="Calibri" w:eastAsia="Times New Roman" w:hAnsi="Calibri" w:cs="Arial"/>
                <w:sz w:val="24"/>
                <w:szCs w:val="24"/>
                <w:lang w:eastAsia="fr-FR"/>
              </w:rPr>
            </w:pPr>
            <w:proofErr w:type="spellStart"/>
            <w:r w:rsidRPr="00343AF3">
              <w:rPr>
                <w:rFonts w:ascii="Calibri" w:eastAsia="Times New Roman" w:hAnsi="Calibri" w:cs="Arial"/>
                <w:sz w:val="24"/>
                <w:szCs w:val="24"/>
                <w:lang w:eastAsia="fr-FR"/>
              </w:rPr>
              <w:t>Juil</w:t>
            </w:r>
            <w:proofErr w:type="spellEnd"/>
            <w:r w:rsidRPr="00343AF3">
              <w:rPr>
                <w:rFonts w:ascii="Calibri" w:eastAsia="Times New Roman" w:hAnsi="Calibri" w:cs="Arial"/>
                <w:sz w:val="24"/>
                <w:szCs w:val="24"/>
                <w:lang w:eastAsia="fr-FR"/>
              </w:rPr>
              <w:t xml:space="preserve"> 2008</w:t>
            </w:r>
          </w:p>
        </w:tc>
      </w:tr>
      <w:tr w:rsidR="00106331" w:rsidRPr="00343AF3" w:rsidTr="00A7522E">
        <w:trPr>
          <w:tblCellSpacing w:w="15" w:type="dxa"/>
          <w:jc w:val="center"/>
        </w:trPr>
        <w:tc>
          <w:tcPr>
            <w:tcW w:w="3809" w:type="dxa"/>
            <w:shd w:val="clear" w:color="auto" w:fill="E6E6F2"/>
            <w:hideMark/>
          </w:tcPr>
          <w:p w:rsidR="00106331" w:rsidRPr="00343AF3" w:rsidRDefault="00106331" w:rsidP="001A0C05">
            <w:pPr>
              <w:spacing w:line="240" w:lineRule="auto"/>
              <w:rPr>
                <w:rFonts w:ascii="Calibri" w:eastAsia="Times New Roman" w:hAnsi="Calibri" w:cs="Arial"/>
                <w:sz w:val="24"/>
                <w:szCs w:val="24"/>
                <w:lang w:eastAsia="fr-FR"/>
              </w:rPr>
            </w:pPr>
            <w:r w:rsidRPr="00343AF3">
              <w:rPr>
                <w:rFonts w:ascii="Calibri" w:eastAsia="Times New Roman" w:hAnsi="Calibri" w:cs="Arial"/>
                <w:sz w:val="24"/>
                <w:szCs w:val="24"/>
                <w:lang w:eastAsia="fr-FR"/>
              </w:rPr>
              <w:t xml:space="preserve">50 ans de consommation en France </w:t>
            </w:r>
          </w:p>
        </w:tc>
        <w:tc>
          <w:tcPr>
            <w:tcW w:w="2478" w:type="dxa"/>
            <w:shd w:val="clear" w:color="auto" w:fill="FFFFCC"/>
            <w:hideMark/>
          </w:tcPr>
          <w:p w:rsidR="00106331" w:rsidRPr="00343AF3" w:rsidRDefault="00106331" w:rsidP="001A0C05">
            <w:pPr>
              <w:spacing w:line="240" w:lineRule="auto"/>
              <w:rPr>
                <w:rFonts w:ascii="Calibri" w:eastAsia="Times New Roman" w:hAnsi="Calibri" w:cs="Arial"/>
                <w:sz w:val="24"/>
                <w:szCs w:val="24"/>
                <w:lang w:eastAsia="fr-FR"/>
              </w:rPr>
            </w:pPr>
            <w:r w:rsidRPr="00343AF3">
              <w:rPr>
                <w:rFonts w:ascii="Calibri" w:eastAsia="Times New Roman" w:hAnsi="Calibri" w:cs="Arial"/>
                <w:sz w:val="24"/>
                <w:szCs w:val="24"/>
                <w:lang w:eastAsia="fr-FR"/>
              </w:rPr>
              <w:t>INSEE</w:t>
            </w:r>
          </w:p>
        </w:tc>
        <w:tc>
          <w:tcPr>
            <w:tcW w:w="2030" w:type="dxa"/>
            <w:shd w:val="clear" w:color="auto" w:fill="E6E6F2"/>
            <w:hideMark/>
          </w:tcPr>
          <w:p w:rsidR="00106331" w:rsidRPr="00343AF3" w:rsidRDefault="00106331" w:rsidP="001A0C05">
            <w:pPr>
              <w:spacing w:line="240" w:lineRule="auto"/>
              <w:rPr>
                <w:rFonts w:ascii="Calibri" w:eastAsia="Times New Roman" w:hAnsi="Calibri" w:cs="Arial"/>
                <w:sz w:val="24"/>
                <w:szCs w:val="24"/>
                <w:lang w:eastAsia="fr-FR"/>
              </w:rPr>
            </w:pPr>
            <w:r w:rsidRPr="00343AF3">
              <w:rPr>
                <w:rFonts w:ascii="Calibri" w:eastAsia="Times New Roman" w:hAnsi="Calibri" w:cs="Arial"/>
                <w:sz w:val="24"/>
                <w:szCs w:val="24"/>
                <w:lang w:eastAsia="fr-FR"/>
              </w:rPr>
              <w:t xml:space="preserve">J. Ph. Cotis </w:t>
            </w:r>
          </w:p>
        </w:tc>
        <w:tc>
          <w:tcPr>
            <w:tcW w:w="1071" w:type="dxa"/>
            <w:shd w:val="clear" w:color="auto" w:fill="E6E6F2"/>
          </w:tcPr>
          <w:p w:rsidR="00106331" w:rsidRPr="00343AF3" w:rsidRDefault="00106331" w:rsidP="00A7522E">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Sept 2009</w:t>
            </w:r>
          </w:p>
        </w:tc>
      </w:tr>
      <w:tr w:rsidR="00106331" w:rsidRPr="00343AF3" w:rsidTr="00A7522E">
        <w:trPr>
          <w:tblCellSpacing w:w="15" w:type="dxa"/>
          <w:jc w:val="center"/>
        </w:trPr>
        <w:tc>
          <w:tcPr>
            <w:tcW w:w="3809" w:type="dxa"/>
            <w:shd w:val="clear" w:color="auto" w:fill="E6E6F2"/>
            <w:hideMark/>
          </w:tcPr>
          <w:p w:rsidR="00106331" w:rsidRPr="00343AF3" w:rsidRDefault="00106331" w:rsidP="001A0C05">
            <w:pPr>
              <w:spacing w:line="240" w:lineRule="auto"/>
              <w:rPr>
                <w:rFonts w:ascii="Calibri" w:eastAsia="Times New Roman" w:hAnsi="Calibri" w:cs="Arial"/>
                <w:sz w:val="24"/>
                <w:szCs w:val="24"/>
                <w:lang w:eastAsia="fr-FR"/>
              </w:rPr>
            </w:pPr>
            <w:r w:rsidRPr="00343AF3">
              <w:rPr>
                <w:rFonts w:ascii="Calibri" w:eastAsia="Times New Roman" w:hAnsi="Calibri" w:cs="Arial"/>
                <w:sz w:val="24"/>
                <w:szCs w:val="24"/>
                <w:lang w:eastAsia="fr-FR"/>
              </w:rPr>
              <w:t xml:space="preserve">Les 100 mots de l’épargne </w:t>
            </w:r>
          </w:p>
        </w:tc>
        <w:tc>
          <w:tcPr>
            <w:tcW w:w="2478" w:type="dxa"/>
            <w:shd w:val="clear" w:color="auto" w:fill="FFFFCC"/>
            <w:hideMark/>
          </w:tcPr>
          <w:p w:rsidR="00106331" w:rsidRPr="00343AF3" w:rsidRDefault="00106331" w:rsidP="001A0C05">
            <w:pPr>
              <w:spacing w:line="240" w:lineRule="auto"/>
              <w:rPr>
                <w:rFonts w:ascii="Calibri" w:eastAsia="Times New Roman" w:hAnsi="Calibri" w:cs="Arial"/>
                <w:sz w:val="24"/>
                <w:szCs w:val="24"/>
                <w:lang w:eastAsia="fr-FR"/>
              </w:rPr>
            </w:pPr>
            <w:r w:rsidRPr="00343AF3">
              <w:rPr>
                <w:rFonts w:ascii="Calibri" w:eastAsia="Times New Roman" w:hAnsi="Calibri" w:cs="Arial"/>
                <w:sz w:val="24"/>
                <w:szCs w:val="24"/>
                <w:lang w:eastAsia="fr-FR"/>
              </w:rPr>
              <w:t>PUF</w:t>
            </w:r>
          </w:p>
        </w:tc>
        <w:tc>
          <w:tcPr>
            <w:tcW w:w="2030" w:type="dxa"/>
            <w:shd w:val="clear" w:color="auto" w:fill="E6E6F2"/>
            <w:hideMark/>
          </w:tcPr>
          <w:p w:rsidR="001B1D41" w:rsidRDefault="001B1D41" w:rsidP="001B1D41">
            <w:pPr>
              <w:spacing w:line="240" w:lineRule="auto"/>
              <w:rPr>
                <w:rFonts w:ascii="Calibri" w:eastAsia="Times New Roman" w:hAnsi="Calibri" w:cs="Arial"/>
                <w:sz w:val="24"/>
                <w:szCs w:val="24"/>
                <w:lang w:val="en-US" w:eastAsia="fr-FR"/>
              </w:rPr>
            </w:pPr>
            <w:r w:rsidRPr="001B1D41">
              <w:rPr>
                <w:rFonts w:ascii="Calibri" w:eastAsia="Times New Roman" w:hAnsi="Calibri" w:cs="Arial"/>
                <w:sz w:val="24"/>
                <w:szCs w:val="24"/>
                <w:lang w:val="en-US" w:eastAsia="fr-FR"/>
              </w:rPr>
              <w:t>G. Beckerman,</w:t>
            </w:r>
          </w:p>
          <w:p w:rsidR="00106331" w:rsidRPr="001B1D41" w:rsidRDefault="001B1D41" w:rsidP="001B1D41">
            <w:pPr>
              <w:spacing w:line="240" w:lineRule="auto"/>
              <w:rPr>
                <w:rFonts w:ascii="Calibri" w:eastAsia="Times New Roman" w:hAnsi="Calibri" w:cs="Arial"/>
                <w:sz w:val="24"/>
                <w:szCs w:val="24"/>
                <w:lang w:val="en-US" w:eastAsia="fr-FR"/>
              </w:rPr>
            </w:pPr>
            <w:r w:rsidRPr="001B1D41">
              <w:rPr>
                <w:rFonts w:ascii="Calibri" w:eastAsia="Times New Roman" w:hAnsi="Calibri" w:cs="Arial"/>
                <w:sz w:val="24"/>
                <w:szCs w:val="24"/>
                <w:lang w:val="en-US" w:eastAsia="fr-FR"/>
              </w:rPr>
              <w:t xml:space="preserve">F. de </w:t>
            </w:r>
            <w:r w:rsidR="00106331" w:rsidRPr="001B1D41">
              <w:rPr>
                <w:rFonts w:ascii="Calibri" w:eastAsia="Times New Roman" w:hAnsi="Calibri" w:cs="Arial"/>
                <w:sz w:val="24"/>
                <w:szCs w:val="24"/>
                <w:lang w:val="en-US" w:eastAsia="fr-FR"/>
              </w:rPr>
              <w:t>Witt</w:t>
            </w:r>
          </w:p>
        </w:tc>
        <w:tc>
          <w:tcPr>
            <w:tcW w:w="1071" w:type="dxa"/>
            <w:shd w:val="clear" w:color="auto" w:fill="E6E6F2"/>
          </w:tcPr>
          <w:p w:rsidR="00106331" w:rsidRPr="00343AF3" w:rsidRDefault="00106331" w:rsidP="00A7522E">
            <w:pPr>
              <w:spacing w:line="240" w:lineRule="auto"/>
              <w:jc w:val="center"/>
              <w:rPr>
                <w:rFonts w:ascii="Calibri" w:eastAsia="Times New Roman" w:hAnsi="Calibri" w:cs="Arial"/>
                <w:sz w:val="24"/>
                <w:szCs w:val="24"/>
                <w:lang w:eastAsia="fr-FR"/>
              </w:rPr>
            </w:pPr>
            <w:proofErr w:type="spellStart"/>
            <w:r w:rsidRPr="00343AF3">
              <w:rPr>
                <w:rFonts w:ascii="Calibri" w:eastAsia="Times New Roman" w:hAnsi="Calibri" w:cs="Arial"/>
                <w:sz w:val="24"/>
                <w:szCs w:val="24"/>
                <w:lang w:eastAsia="fr-FR"/>
              </w:rPr>
              <w:t>Nov</w:t>
            </w:r>
            <w:proofErr w:type="spellEnd"/>
            <w:r w:rsidRPr="00343AF3">
              <w:rPr>
                <w:rFonts w:ascii="Calibri" w:eastAsia="Times New Roman" w:hAnsi="Calibri" w:cs="Arial"/>
                <w:sz w:val="24"/>
                <w:szCs w:val="24"/>
                <w:lang w:eastAsia="fr-FR"/>
              </w:rPr>
              <w:t xml:space="preserve"> 2010</w:t>
            </w:r>
          </w:p>
        </w:tc>
      </w:tr>
      <w:tr w:rsidR="00106331" w:rsidRPr="00343AF3" w:rsidTr="00A7522E">
        <w:trPr>
          <w:tblCellSpacing w:w="15" w:type="dxa"/>
          <w:jc w:val="center"/>
        </w:trPr>
        <w:tc>
          <w:tcPr>
            <w:tcW w:w="3809" w:type="dxa"/>
            <w:shd w:val="clear" w:color="auto" w:fill="E6E6F2"/>
            <w:hideMark/>
          </w:tcPr>
          <w:p w:rsidR="00106331" w:rsidRPr="00343AF3" w:rsidRDefault="00106331" w:rsidP="001A0C05">
            <w:pPr>
              <w:spacing w:line="240" w:lineRule="auto"/>
              <w:rPr>
                <w:rFonts w:ascii="Calibri" w:eastAsia="Times New Roman" w:hAnsi="Calibri" w:cs="Arial"/>
                <w:sz w:val="24"/>
                <w:szCs w:val="24"/>
                <w:lang w:eastAsia="fr-FR"/>
              </w:rPr>
            </w:pPr>
            <w:r w:rsidRPr="00343AF3">
              <w:rPr>
                <w:rFonts w:ascii="Calibri" w:eastAsia="Times New Roman" w:hAnsi="Calibri" w:cs="Arial"/>
                <w:sz w:val="24"/>
                <w:szCs w:val="24"/>
                <w:lang w:eastAsia="fr-FR"/>
              </w:rPr>
              <w:t xml:space="preserve">L'économie politique </w:t>
            </w:r>
          </w:p>
        </w:tc>
        <w:tc>
          <w:tcPr>
            <w:tcW w:w="2478" w:type="dxa"/>
            <w:shd w:val="clear" w:color="auto" w:fill="FFFFCC"/>
            <w:hideMark/>
          </w:tcPr>
          <w:p w:rsidR="00106331" w:rsidRPr="00343AF3" w:rsidRDefault="00106331" w:rsidP="001A0C05">
            <w:pPr>
              <w:spacing w:line="240" w:lineRule="auto"/>
              <w:rPr>
                <w:rFonts w:ascii="Calibri" w:eastAsia="Times New Roman" w:hAnsi="Calibri" w:cs="Arial"/>
                <w:sz w:val="24"/>
                <w:szCs w:val="24"/>
                <w:lang w:eastAsia="fr-FR"/>
              </w:rPr>
            </w:pPr>
            <w:r w:rsidRPr="00343AF3">
              <w:rPr>
                <w:rFonts w:ascii="Calibri" w:eastAsia="Times New Roman" w:hAnsi="Calibri" w:cs="Arial"/>
                <w:sz w:val="24"/>
                <w:szCs w:val="24"/>
                <w:lang w:eastAsia="fr-FR"/>
              </w:rPr>
              <w:t>Armand Colin – Cursus</w:t>
            </w:r>
          </w:p>
        </w:tc>
        <w:tc>
          <w:tcPr>
            <w:tcW w:w="2030" w:type="dxa"/>
            <w:shd w:val="clear" w:color="auto" w:fill="E6E6F2"/>
            <w:hideMark/>
          </w:tcPr>
          <w:p w:rsidR="00106331" w:rsidRPr="00343AF3" w:rsidRDefault="00106331" w:rsidP="001A0C05">
            <w:pPr>
              <w:spacing w:line="240" w:lineRule="auto"/>
              <w:rPr>
                <w:rFonts w:ascii="Calibri" w:eastAsia="Times New Roman" w:hAnsi="Calibri" w:cs="Arial"/>
                <w:sz w:val="24"/>
                <w:szCs w:val="24"/>
                <w:lang w:eastAsia="fr-FR"/>
              </w:rPr>
            </w:pPr>
            <w:r w:rsidRPr="00343AF3">
              <w:rPr>
                <w:rFonts w:ascii="Calibri" w:eastAsia="Times New Roman" w:hAnsi="Calibri" w:cs="Arial"/>
                <w:sz w:val="24"/>
                <w:szCs w:val="24"/>
                <w:lang w:eastAsia="fr-FR"/>
              </w:rPr>
              <w:t xml:space="preserve">A. </w:t>
            </w:r>
            <w:proofErr w:type="spellStart"/>
            <w:r w:rsidRPr="00343AF3">
              <w:rPr>
                <w:rFonts w:ascii="Calibri" w:eastAsia="Times New Roman" w:hAnsi="Calibri" w:cs="Arial"/>
                <w:sz w:val="24"/>
                <w:szCs w:val="24"/>
                <w:lang w:eastAsia="fr-FR"/>
              </w:rPr>
              <w:t>Silem</w:t>
            </w:r>
            <w:proofErr w:type="spellEnd"/>
            <w:r w:rsidRPr="00343AF3">
              <w:rPr>
                <w:rFonts w:ascii="Calibri" w:eastAsia="Times New Roman" w:hAnsi="Calibri" w:cs="Arial"/>
                <w:sz w:val="24"/>
                <w:szCs w:val="24"/>
                <w:lang w:eastAsia="fr-FR"/>
              </w:rPr>
              <w:t xml:space="preserve"> </w:t>
            </w:r>
          </w:p>
        </w:tc>
        <w:tc>
          <w:tcPr>
            <w:tcW w:w="1071" w:type="dxa"/>
            <w:shd w:val="clear" w:color="auto" w:fill="E6E6F2"/>
          </w:tcPr>
          <w:p w:rsidR="00106331" w:rsidRPr="00343AF3" w:rsidRDefault="00106331" w:rsidP="00E77D5A">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Août 2011</w:t>
            </w:r>
          </w:p>
        </w:tc>
      </w:tr>
      <w:tr w:rsidR="00106331" w:rsidRPr="00343AF3" w:rsidTr="00A7522E">
        <w:trPr>
          <w:tblCellSpacing w:w="15" w:type="dxa"/>
          <w:jc w:val="center"/>
        </w:trPr>
        <w:tc>
          <w:tcPr>
            <w:tcW w:w="3809" w:type="dxa"/>
            <w:shd w:val="clear" w:color="auto" w:fill="E6E6F2"/>
          </w:tcPr>
          <w:p w:rsidR="00106331" w:rsidRPr="00343AF3" w:rsidRDefault="00106331" w:rsidP="001A0C05">
            <w:pPr>
              <w:spacing w:line="240" w:lineRule="auto"/>
              <w:rPr>
                <w:rFonts w:ascii="Calibri" w:eastAsia="Times New Roman" w:hAnsi="Calibri" w:cs="Arial"/>
                <w:sz w:val="24"/>
                <w:szCs w:val="24"/>
                <w:lang w:eastAsia="fr-FR"/>
              </w:rPr>
            </w:pPr>
            <w:r w:rsidRPr="00343AF3">
              <w:rPr>
                <w:rFonts w:ascii="Calibri" w:eastAsia="Times New Roman" w:hAnsi="Calibri" w:cs="Arial"/>
                <w:sz w:val="24"/>
                <w:szCs w:val="24"/>
                <w:lang w:eastAsia="fr-FR"/>
              </w:rPr>
              <w:t>Le comportement financier des français</w:t>
            </w:r>
          </w:p>
        </w:tc>
        <w:tc>
          <w:tcPr>
            <w:tcW w:w="2478" w:type="dxa"/>
            <w:shd w:val="clear" w:color="auto" w:fill="FFFFCC"/>
          </w:tcPr>
          <w:p w:rsidR="00106331" w:rsidRPr="00343AF3" w:rsidRDefault="00106331" w:rsidP="001A0C05">
            <w:pPr>
              <w:spacing w:line="240" w:lineRule="auto"/>
              <w:rPr>
                <w:rFonts w:ascii="Calibri" w:eastAsia="Times New Roman" w:hAnsi="Calibri" w:cs="Arial"/>
                <w:sz w:val="24"/>
                <w:szCs w:val="24"/>
                <w:lang w:eastAsia="fr-FR"/>
              </w:rPr>
            </w:pPr>
            <w:proofErr w:type="spellStart"/>
            <w:r w:rsidRPr="00343AF3">
              <w:rPr>
                <w:rFonts w:ascii="Calibri" w:eastAsia="Times New Roman" w:hAnsi="Calibri" w:cs="Arial"/>
                <w:sz w:val="24"/>
                <w:szCs w:val="24"/>
                <w:lang w:eastAsia="fr-FR"/>
              </w:rPr>
              <w:t>Economica</w:t>
            </w:r>
            <w:proofErr w:type="spellEnd"/>
          </w:p>
        </w:tc>
        <w:tc>
          <w:tcPr>
            <w:tcW w:w="2030" w:type="dxa"/>
            <w:shd w:val="clear" w:color="auto" w:fill="E6E6F2"/>
          </w:tcPr>
          <w:p w:rsidR="00106331" w:rsidRPr="00343AF3" w:rsidRDefault="00106331" w:rsidP="001A0C05">
            <w:pPr>
              <w:spacing w:line="240" w:lineRule="auto"/>
              <w:rPr>
                <w:rFonts w:ascii="Calibri" w:eastAsia="Times New Roman" w:hAnsi="Calibri" w:cs="Arial"/>
                <w:sz w:val="24"/>
                <w:szCs w:val="24"/>
                <w:lang w:eastAsia="fr-FR"/>
              </w:rPr>
            </w:pPr>
            <w:r w:rsidRPr="00343AF3">
              <w:rPr>
                <w:rFonts w:ascii="Calibri" w:eastAsia="Times New Roman" w:hAnsi="Calibri" w:cs="Arial"/>
                <w:sz w:val="24"/>
                <w:szCs w:val="24"/>
                <w:lang w:eastAsia="fr-FR"/>
              </w:rPr>
              <w:t xml:space="preserve">A. </w:t>
            </w:r>
            <w:proofErr w:type="spellStart"/>
            <w:r w:rsidRPr="00343AF3">
              <w:rPr>
                <w:rFonts w:ascii="Calibri" w:eastAsia="Times New Roman" w:hAnsi="Calibri" w:cs="Arial"/>
                <w:sz w:val="24"/>
                <w:szCs w:val="24"/>
                <w:lang w:eastAsia="fr-FR"/>
              </w:rPr>
              <w:t>Babeau</w:t>
            </w:r>
            <w:proofErr w:type="spellEnd"/>
          </w:p>
        </w:tc>
        <w:tc>
          <w:tcPr>
            <w:tcW w:w="1071" w:type="dxa"/>
            <w:shd w:val="clear" w:color="auto" w:fill="E6E6F2"/>
          </w:tcPr>
          <w:p w:rsidR="00106331" w:rsidRPr="00343AF3" w:rsidRDefault="00106331" w:rsidP="00E77D5A">
            <w:pPr>
              <w:spacing w:line="240" w:lineRule="auto"/>
              <w:jc w:val="center"/>
              <w:rPr>
                <w:rFonts w:ascii="Calibri" w:eastAsia="Times New Roman" w:hAnsi="Calibri" w:cs="Arial"/>
                <w:sz w:val="24"/>
                <w:szCs w:val="24"/>
                <w:lang w:eastAsia="fr-FR"/>
              </w:rPr>
            </w:pPr>
            <w:r w:rsidRPr="00343AF3">
              <w:rPr>
                <w:rFonts w:ascii="Calibri" w:eastAsia="Times New Roman" w:hAnsi="Calibri" w:cs="Arial"/>
                <w:sz w:val="24"/>
                <w:szCs w:val="24"/>
                <w:lang w:eastAsia="fr-FR"/>
              </w:rPr>
              <w:t>Sept 2011</w:t>
            </w:r>
          </w:p>
        </w:tc>
      </w:tr>
      <w:tr w:rsidR="00106331" w:rsidRPr="00343AF3" w:rsidTr="00A7522E">
        <w:trPr>
          <w:tblCellSpacing w:w="15" w:type="dxa"/>
          <w:jc w:val="center"/>
        </w:trPr>
        <w:tc>
          <w:tcPr>
            <w:tcW w:w="3809" w:type="dxa"/>
            <w:shd w:val="clear" w:color="auto" w:fill="E6E6F2"/>
            <w:hideMark/>
          </w:tcPr>
          <w:p w:rsidR="00106331" w:rsidRPr="00343AF3" w:rsidRDefault="00106331" w:rsidP="001A0C05">
            <w:pPr>
              <w:spacing w:line="240" w:lineRule="auto"/>
              <w:rPr>
                <w:rFonts w:ascii="Calibri" w:eastAsia="Times New Roman" w:hAnsi="Calibri" w:cs="Arial"/>
                <w:sz w:val="24"/>
                <w:szCs w:val="24"/>
                <w:lang w:eastAsia="fr-FR"/>
              </w:rPr>
            </w:pPr>
            <w:r w:rsidRPr="00343AF3">
              <w:rPr>
                <w:rFonts w:ascii="Calibri" w:eastAsia="Times New Roman" w:hAnsi="Calibri" w:cs="Arial"/>
                <w:sz w:val="24"/>
                <w:szCs w:val="24"/>
                <w:lang w:eastAsia="fr-FR"/>
              </w:rPr>
              <w:t>Histoire de la consommation</w:t>
            </w:r>
          </w:p>
        </w:tc>
        <w:tc>
          <w:tcPr>
            <w:tcW w:w="2478" w:type="dxa"/>
            <w:shd w:val="clear" w:color="auto" w:fill="FFFFCC"/>
            <w:hideMark/>
          </w:tcPr>
          <w:p w:rsidR="00106331" w:rsidRPr="00343AF3" w:rsidRDefault="00106331" w:rsidP="001A0C05">
            <w:pPr>
              <w:spacing w:line="240" w:lineRule="auto"/>
              <w:rPr>
                <w:rFonts w:ascii="Calibri" w:eastAsia="Times New Roman" w:hAnsi="Calibri" w:cs="Arial"/>
                <w:sz w:val="24"/>
                <w:szCs w:val="24"/>
                <w:lang w:eastAsia="fr-FR"/>
              </w:rPr>
            </w:pPr>
            <w:r w:rsidRPr="00343AF3">
              <w:rPr>
                <w:rFonts w:ascii="Calibri" w:eastAsia="Times New Roman" w:hAnsi="Calibri" w:cs="Arial"/>
                <w:sz w:val="24"/>
                <w:szCs w:val="24"/>
                <w:lang w:eastAsia="fr-FR"/>
              </w:rPr>
              <w:t>Repère – La découverte</w:t>
            </w:r>
          </w:p>
        </w:tc>
        <w:tc>
          <w:tcPr>
            <w:tcW w:w="2030" w:type="dxa"/>
            <w:shd w:val="clear" w:color="auto" w:fill="E6E6F2"/>
            <w:hideMark/>
          </w:tcPr>
          <w:p w:rsidR="00106331" w:rsidRPr="00343AF3" w:rsidRDefault="00106331" w:rsidP="001A0C05">
            <w:pPr>
              <w:spacing w:line="240" w:lineRule="auto"/>
              <w:rPr>
                <w:rFonts w:ascii="Calibri" w:eastAsia="Times New Roman" w:hAnsi="Calibri" w:cs="Arial"/>
                <w:sz w:val="24"/>
                <w:szCs w:val="24"/>
                <w:lang w:eastAsia="fr-FR"/>
              </w:rPr>
            </w:pPr>
            <w:r w:rsidRPr="00343AF3">
              <w:rPr>
                <w:rFonts w:ascii="Calibri" w:eastAsia="Times New Roman" w:hAnsi="Calibri" w:cs="Arial"/>
                <w:sz w:val="24"/>
                <w:szCs w:val="24"/>
                <w:lang w:eastAsia="fr-FR"/>
              </w:rPr>
              <w:t xml:space="preserve">M-E </w:t>
            </w:r>
            <w:proofErr w:type="spellStart"/>
            <w:r w:rsidRPr="00343AF3">
              <w:rPr>
                <w:rFonts w:ascii="Calibri" w:eastAsia="Times New Roman" w:hAnsi="Calibri" w:cs="Arial"/>
                <w:sz w:val="24"/>
                <w:szCs w:val="24"/>
                <w:lang w:eastAsia="fr-FR"/>
              </w:rPr>
              <w:t>Chessel</w:t>
            </w:r>
            <w:proofErr w:type="spellEnd"/>
          </w:p>
        </w:tc>
        <w:tc>
          <w:tcPr>
            <w:tcW w:w="1071" w:type="dxa"/>
            <w:shd w:val="clear" w:color="auto" w:fill="E6E6F2"/>
          </w:tcPr>
          <w:p w:rsidR="00106331" w:rsidRPr="00343AF3" w:rsidRDefault="00106331" w:rsidP="00E77D5A">
            <w:pPr>
              <w:spacing w:line="240" w:lineRule="auto"/>
              <w:jc w:val="center"/>
              <w:rPr>
                <w:rFonts w:ascii="Calibri" w:eastAsia="Times New Roman" w:hAnsi="Calibri" w:cs="Arial"/>
                <w:sz w:val="24"/>
                <w:szCs w:val="24"/>
                <w:lang w:eastAsia="fr-FR"/>
              </w:rPr>
            </w:pPr>
            <w:proofErr w:type="spellStart"/>
            <w:r w:rsidRPr="00343AF3">
              <w:rPr>
                <w:rFonts w:ascii="Calibri" w:eastAsia="Times New Roman" w:hAnsi="Calibri" w:cs="Arial"/>
                <w:sz w:val="24"/>
                <w:szCs w:val="24"/>
                <w:lang w:eastAsia="fr-FR"/>
              </w:rPr>
              <w:t>Janv</w:t>
            </w:r>
            <w:proofErr w:type="spellEnd"/>
            <w:r w:rsidRPr="00343AF3">
              <w:rPr>
                <w:rFonts w:ascii="Calibri" w:eastAsia="Times New Roman" w:hAnsi="Calibri" w:cs="Arial"/>
                <w:sz w:val="24"/>
                <w:szCs w:val="24"/>
                <w:lang w:eastAsia="fr-FR"/>
              </w:rPr>
              <w:t xml:space="preserve"> 2012</w:t>
            </w:r>
          </w:p>
        </w:tc>
      </w:tr>
    </w:tbl>
    <w:p w:rsidR="003C0B56" w:rsidRDefault="003C0B56" w:rsidP="00671FE2">
      <w:pPr>
        <w:spacing w:before="100" w:beforeAutospacing="1" w:afterAutospacing="1" w:line="240" w:lineRule="auto"/>
        <w:jc w:val="right"/>
        <w:rPr>
          <w:rFonts w:ascii="Arial" w:eastAsia="Times New Roman" w:hAnsi="Arial" w:cs="Times New Roman"/>
          <w:b/>
          <w:color w:val="C00000"/>
          <w:lang w:eastAsia="fr-FR"/>
        </w:rPr>
      </w:pPr>
    </w:p>
    <w:p w:rsidR="00D846A5" w:rsidRPr="00671FE2" w:rsidRDefault="00FD4EF9" w:rsidP="00671FE2">
      <w:pPr>
        <w:spacing w:before="100" w:beforeAutospacing="1" w:afterAutospacing="1" w:line="240" w:lineRule="auto"/>
        <w:jc w:val="right"/>
        <w:rPr>
          <w:rFonts w:ascii="Arial" w:eastAsia="Times New Roman" w:hAnsi="Arial" w:cs="Times New Roman"/>
          <w:b/>
          <w:color w:val="C00000"/>
          <w:lang w:eastAsia="fr-FR"/>
        </w:rPr>
      </w:pPr>
      <w:r w:rsidRPr="00C36744">
        <w:rPr>
          <w:rFonts w:ascii="Arial" w:eastAsia="Times New Roman" w:hAnsi="Arial" w:cs="Times New Roman"/>
          <w:b/>
          <w:color w:val="C00000"/>
          <w:lang w:eastAsia="fr-FR"/>
        </w:rPr>
        <w:t>Actualisé le 28-10-2012</w:t>
      </w:r>
    </w:p>
    <w:sectPr w:rsidR="00D846A5" w:rsidRPr="00671FE2" w:rsidSect="00F10727">
      <w:headerReference w:type="even" r:id="rId49"/>
      <w:headerReference w:type="default" r:id="rId50"/>
      <w:footerReference w:type="even" r:id="rId51"/>
      <w:footerReference w:type="default" r:id="rId52"/>
      <w:headerReference w:type="first" r:id="rId53"/>
      <w:footerReference w:type="first" r:id="rId54"/>
      <w:pgSz w:w="11906" w:h="16838"/>
      <w:pgMar w:top="720" w:right="720" w:bottom="720" w:left="720" w:header="708" w:footer="1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5D6" w:rsidRDefault="007B65D6" w:rsidP="002E0F4E">
      <w:pPr>
        <w:spacing w:line="240" w:lineRule="auto"/>
      </w:pPr>
      <w:r>
        <w:separator/>
      </w:r>
    </w:p>
  </w:endnote>
  <w:endnote w:type="continuationSeparator" w:id="0">
    <w:p w:rsidR="007B65D6" w:rsidRDefault="007B65D6" w:rsidP="002E0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uvarese-BoldItalic">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56C" w:rsidRDefault="0093656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278422348"/>
      <w:docPartObj>
        <w:docPartGallery w:val="Page Numbers (Bottom of Page)"/>
        <w:docPartUnique/>
      </w:docPartObj>
    </w:sdtPr>
    <w:sdtEndPr>
      <w:rPr>
        <w:i w:val="0"/>
      </w:rPr>
    </w:sdtEndPr>
    <w:sdtContent>
      <w:p w:rsidR="002E19C7" w:rsidRPr="00076E5E" w:rsidRDefault="00996532" w:rsidP="002E19C7">
        <w:pPr>
          <w:spacing w:line="240" w:lineRule="auto"/>
          <w:ind w:right="360"/>
          <w:rPr>
            <w:rFonts w:ascii="Arial" w:eastAsia="Times New Roman" w:hAnsi="Arial" w:cs="Arial"/>
            <w:i/>
            <w:iCs/>
            <w:sz w:val="20"/>
            <w:szCs w:val="20"/>
            <w:lang w:eastAsia="fr-FR"/>
          </w:rPr>
        </w:pPr>
        <w:r w:rsidRPr="00076E5E">
          <w:rPr>
            <w:i/>
          </w:rPr>
          <w:t xml:space="preserve">Jean-Pierre TESTENOIRE - </w:t>
        </w:r>
        <w:r w:rsidR="002E19C7" w:rsidRPr="00076E5E">
          <w:rPr>
            <w:rFonts w:ascii="Calibri" w:eastAsia="Times New Roman" w:hAnsi="Calibri" w:cs="Times New Roman"/>
            <w:i/>
            <w:iCs/>
            <w:lang w:eastAsia="fr-FR"/>
          </w:rPr>
          <w:t xml:space="preserve">Marie BERRAH - </w:t>
        </w:r>
        <w:r w:rsidRPr="00076E5E">
          <w:rPr>
            <w:rFonts w:ascii="Calibri" w:eastAsia="Times New Roman" w:hAnsi="Calibri" w:cs="Times New Roman"/>
            <w:i/>
            <w:iCs/>
            <w:lang w:eastAsia="fr-FR"/>
          </w:rPr>
          <w:t xml:space="preserve"> </w:t>
        </w:r>
        <w:r w:rsidR="002E19C7" w:rsidRPr="00076E5E">
          <w:rPr>
            <w:rFonts w:ascii="Calibri" w:eastAsia="Times New Roman" w:hAnsi="Calibri" w:cs="Times New Roman"/>
            <w:i/>
            <w:iCs/>
            <w:lang w:eastAsia="fr-FR"/>
          </w:rPr>
          <w:t>©</w:t>
        </w:r>
        <w:r w:rsidRPr="00076E5E">
          <w:rPr>
            <w:rFonts w:ascii="Calibri" w:eastAsia="Times New Roman" w:hAnsi="Calibri" w:cs="Times New Roman"/>
            <w:i/>
            <w:iCs/>
            <w:lang w:eastAsia="fr-FR"/>
          </w:rPr>
          <w:t xml:space="preserve"> </w:t>
        </w:r>
        <w:proofErr w:type="spellStart"/>
        <w:r w:rsidRPr="00076E5E">
          <w:rPr>
            <w:rFonts w:ascii="Calibri" w:eastAsia="Times New Roman" w:hAnsi="Calibri" w:cs="Times New Roman"/>
            <w:i/>
            <w:iCs/>
            <w:lang w:eastAsia="fr-FR"/>
          </w:rPr>
          <w:t>Cerpeg</w:t>
        </w:r>
        <w:proofErr w:type="spellEnd"/>
        <w:r w:rsidRPr="00076E5E">
          <w:rPr>
            <w:rFonts w:ascii="Calibri" w:eastAsia="Times New Roman" w:hAnsi="Calibri" w:cs="Times New Roman"/>
            <w:i/>
            <w:iCs/>
            <w:lang w:eastAsia="fr-FR"/>
          </w:rPr>
          <w:t xml:space="preserve"> – mise à jour  novembre</w:t>
        </w:r>
        <w:r w:rsidR="002E19C7" w:rsidRPr="00076E5E">
          <w:rPr>
            <w:rFonts w:ascii="Calibri" w:eastAsia="Times New Roman" w:hAnsi="Calibri" w:cs="Times New Roman"/>
            <w:i/>
            <w:iCs/>
            <w:lang w:eastAsia="fr-FR"/>
          </w:rPr>
          <w:t xml:space="preserve"> </w:t>
        </w:r>
        <w:r w:rsidR="0093656C">
          <w:rPr>
            <w:rFonts w:ascii="Calibri" w:eastAsia="Times New Roman" w:hAnsi="Calibri" w:cs="Times New Roman"/>
            <w:i/>
            <w:iCs/>
            <w:lang w:eastAsia="fr-FR"/>
          </w:rPr>
          <w:t xml:space="preserve"> </w:t>
        </w:r>
        <w:r w:rsidR="002E19C7" w:rsidRPr="00076E5E">
          <w:rPr>
            <w:rFonts w:ascii="Calibri" w:eastAsia="Times New Roman" w:hAnsi="Calibri" w:cs="Times New Roman"/>
            <w:i/>
            <w:iCs/>
            <w:lang w:eastAsia="fr-FR"/>
          </w:rPr>
          <w:t>2012</w:t>
        </w:r>
      </w:p>
      <w:p w:rsidR="002E19C7" w:rsidRDefault="002E19C7" w:rsidP="002E19C7">
        <w:pPr>
          <w:pStyle w:val="Pieddepage"/>
        </w:pPr>
        <w:r>
          <w:tab/>
        </w:r>
        <w:r>
          <w:tab/>
        </w:r>
        <w:r>
          <w:tab/>
        </w:r>
        <w:r>
          <w:tab/>
        </w:r>
        <w:r>
          <w:fldChar w:fldCharType="begin"/>
        </w:r>
        <w:r>
          <w:instrText>PAGE   \* MERGEFORMAT</w:instrText>
        </w:r>
        <w:r>
          <w:fldChar w:fldCharType="separate"/>
        </w:r>
        <w:r w:rsidR="000F51D8">
          <w:rPr>
            <w:noProof/>
          </w:rPr>
          <w:t>1</w:t>
        </w:r>
        <w:r>
          <w:fldChar w:fldCharType="end"/>
        </w:r>
      </w:p>
    </w:sdtContent>
  </w:sdt>
  <w:p w:rsidR="00D375A2" w:rsidRPr="0034596C" w:rsidRDefault="00D375A2" w:rsidP="0034596C">
    <w:pPr>
      <w:spacing w:line="240" w:lineRule="auto"/>
      <w:ind w:right="360"/>
      <w:rPr>
        <w:rFonts w:ascii="Arial" w:eastAsia="Times New Roman" w:hAnsi="Arial" w:cs="Arial"/>
        <w:i/>
        <w:iCs/>
        <w:sz w:val="20"/>
        <w:szCs w:val="20"/>
        <w:lang w:eastAsia="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56C" w:rsidRDefault="0093656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5D6" w:rsidRDefault="007B65D6" w:rsidP="002E0F4E">
      <w:pPr>
        <w:spacing w:line="240" w:lineRule="auto"/>
      </w:pPr>
      <w:r>
        <w:separator/>
      </w:r>
    </w:p>
  </w:footnote>
  <w:footnote w:type="continuationSeparator" w:id="0">
    <w:p w:rsidR="007B65D6" w:rsidRDefault="007B65D6" w:rsidP="002E0F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56C" w:rsidRDefault="0093656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56C" w:rsidRDefault="0093656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56C" w:rsidRDefault="0093656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1464"/>
    <w:multiLevelType w:val="multilevel"/>
    <w:tmpl w:val="C860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EE5955"/>
    <w:multiLevelType w:val="hybridMultilevel"/>
    <w:tmpl w:val="4A5C26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F73555A"/>
    <w:multiLevelType w:val="multilevel"/>
    <w:tmpl w:val="53185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6207F6"/>
    <w:multiLevelType w:val="multilevel"/>
    <w:tmpl w:val="3998E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F87D83"/>
    <w:multiLevelType w:val="multilevel"/>
    <w:tmpl w:val="BDCAA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D92D98"/>
    <w:multiLevelType w:val="multilevel"/>
    <w:tmpl w:val="A70AC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F250A0"/>
    <w:multiLevelType w:val="multilevel"/>
    <w:tmpl w:val="A962C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FD7338"/>
    <w:multiLevelType w:val="hybridMultilevel"/>
    <w:tmpl w:val="6E7883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6"/>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A0C05"/>
    <w:rsid w:val="00076E5E"/>
    <w:rsid w:val="000A3AAF"/>
    <w:rsid w:val="000B56B4"/>
    <w:rsid w:val="000C67EE"/>
    <w:rsid w:val="000F51D8"/>
    <w:rsid w:val="00106331"/>
    <w:rsid w:val="00121759"/>
    <w:rsid w:val="00125A4B"/>
    <w:rsid w:val="001327E6"/>
    <w:rsid w:val="00150C78"/>
    <w:rsid w:val="0015620B"/>
    <w:rsid w:val="00194523"/>
    <w:rsid w:val="001A0C05"/>
    <w:rsid w:val="001B1D41"/>
    <w:rsid w:val="001B36A3"/>
    <w:rsid w:val="001D01E9"/>
    <w:rsid w:val="00251D03"/>
    <w:rsid w:val="002C593F"/>
    <w:rsid w:val="002E0F4E"/>
    <w:rsid w:val="002E19C7"/>
    <w:rsid w:val="00343AF3"/>
    <w:rsid w:val="0034596C"/>
    <w:rsid w:val="00347FCF"/>
    <w:rsid w:val="003758CE"/>
    <w:rsid w:val="003A0D5A"/>
    <w:rsid w:val="003C0B56"/>
    <w:rsid w:val="003C52D4"/>
    <w:rsid w:val="00492FFD"/>
    <w:rsid w:val="004C4235"/>
    <w:rsid w:val="004D0E9A"/>
    <w:rsid w:val="005177D3"/>
    <w:rsid w:val="005A37E8"/>
    <w:rsid w:val="005C4B3F"/>
    <w:rsid w:val="005F6C4E"/>
    <w:rsid w:val="006338F8"/>
    <w:rsid w:val="00671FE2"/>
    <w:rsid w:val="00674E63"/>
    <w:rsid w:val="0071204F"/>
    <w:rsid w:val="00791A8B"/>
    <w:rsid w:val="007B65D6"/>
    <w:rsid w:val="007F6771"/>
    <w:rsid w:val="008C3D4B"/>
    <w:rsid w:val="0093656C"/>
    <w:rsid w:val="00943B11"/>
    <w:rsid w:val="00972912"/>
    <w:rsid w:val="00996532"/>
    <w:rsid w:val="009F7D87"/>
    <w:rsid w:val="00A143DA"/>
    <w:rsid w:val="00A61AAD"/>
    <w:rsid w:val="00A67BCA"/>
    <w:rsid w:val="00A7522E"/>
    <w:rsid w:val="00AE4D64"/>
    <w:rsid w:val="00B02643"/>
    <w:rsid w:val="00B123FA"/>
    <w:rsid w:val="00B326A9"/>
    <w:rsid w:val="00B41A82"/>
    <w:rsid w:val="00B41CD0"/>
    <w:rsid w:val="00B678F7"/>
    <w:rsid w:val="00B857B5"/>
    <w:rsid w:val="00B933BB"/>
    <w:rsid w:val="00C1573B"/>
    <w:rsid w:val="00C36744"/>
    <w:rsid w:val="00C40FF9"/>
    <w:rsid w:val="00C42846"/>
    <w:rsid w:val="00C4796B"/>
    <w:rsid w:val="00C90FB7"/>
    <w:rsid w:val="00CA38BB"/>
    <w:rsid w:val="00CE439C"/>
    <w:rsid w:val="00CF16BD"/>
    <w:rsid w:val="00CF65E8"/>
    <w:rsid w:val="00D31138"/>
    <w:rsid w:val="00D375A2"/>
    <w:rsid w:val="00D63D6D"/>
    <w:rsid w:val="00D75B65"/>
    <w:rsid w:val="00D846A5"/>
    <w:rsid w:val="00D91427"/>
    <w:rsid w:val="00E03D99"/>
    <w:rsid w:val="00E05AAE"/>
    <w:rsid w:val="00E273AE"/>
    <w:rsid w:val="00E32815"/>
    <w:rsid w:val="00E57833"/>
    <w:rsid w:val="00E578B6"/>
    <w:rsid w:val="00E76228"/>
    <w:rsid w:val="00E77D5A"/>
    <w:rsid w:val="00EF332F"/>
    <w:rsid w:val="00F10727"/>
    <w:rsid w:val="00F9154B"/>
    <w:rsid w:val="00FD4E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A4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
    <w:name w:val="titre1"/>
    <w:basedOn w:val="Normal"/>
    <w:rsid w:val="001A0C05"/>
    <w:pPr>
      <w:spacing w:before="100" w:beforeAutospacing="1" w:after="100" w:afterAutospacing="1" w:line="240" w:lineRule="auto"/>
    </w:pPr>
    <w:rPr>
      <w:rFonts w:ascii="Neuvarese-BoldItalic" w:eastAsia="Times New Roman" w:hAnsi="Neuvarese-BoldItalic" w:cs="Times New Roman"/>
      <w:b/>
      <w:bCs/>
      <w:color w:val="CC3300"/>
      <w:sz w:val="45"/>
      <w:szCs w:val="45"/>
      <w:lang w:eastAsia="fr-FR"/>
    </w:rPr>
  </w:style>
  <w:style w:type="paragraph" w:customStyle="1" w:styleId="titre2">
    <w:name w:val="titre2"/>
    <w:basedOn w:val="Normal"/>
    <w:rsid w:val="001A0C05"/>
    <w:pPr>
      <w:spacing w:before="100" w:beforeAutospacing="1" w:after="100" w:afterAutospacing="1" w:line="240" w:lineRule="auto"/>
    </w:pPr>
    <w:rPr>
      <w:rFonts w:ascii="Arial" w:eastAsia="Times New Roman" w:hAnsi="Arial" w:cs="Arial"/>
      <w:b/>
      <w:bCs/>
      <w:color w:val="666666"/>
      <w:sz w:val="27"/>
      <w:szCs w:val="27"/>
      <w:lang w:eastAsia="fr-FR"/>
    </w:rPr>
  </w:style>
  <w:style w:type="paragraph" w:customStyle="1" w:styleId="titre3">
    <w:name w:val="titre3"/>
    <w:basedOn w:val="Normal"/>
    <w:rsid w:val="001A0C05"/>
    <w:pPr>
      <w:spacing w:before="100" w:beforeAutospacing="1" w:after="100" w:afterAutospacing="1" w:line="240" w:lineRule="auto"/>
    </w:pPr>
    <w:rPr>
      <w:rFonts w:ascii="Arial" w:eastAsia="Times New Roman" w:hAnsi="Arial" w:cs="Arial"/>
      <w:b/>
      <w:bCs/>
      <w:color w:val="CC3300"/>
      <w:sz w:val="21"/>
      <w:szCs w:val="21"/>
      <w:lang w:eastAsia="fr-FR"/>
    </w:rPr>
  </w:style>
  <w:style w:type="paragraph" w:styleId="NormalWeb">
    <w:name w:val="Normal (Web)"/>
    <w:basedOn w:val="Normal"/>
    <w:uiPriority w:val="99"/>
    <w:unhideWhenUsed/>
    <w:rsid w:val="001A0C0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A0C05"/>
    <w:rPr>
      <w:color w:val="0000FF"/>
      <w:u w:val="single"/>
    </w:rPr>
  </w:style>
  <w:style w:type="character" w:styleId="lev">
    <w:name w:val="Strong"/>
    <w:basedOn w:val="Policepardfaut"/>
    <w:uiPriority w:val="22"/>
    <w:qFormat/>
    <w:rsid w:val="001A0C05"/>
    <w:rPr>
      <w:b/>
      <w:bCs/>
    </w:rPr>
  </w:style>
  <w:style w:type="character" w:styleId="Accentuation">
    <w:name w:val="Emphasis"/>
    <w:basedOn w:val="Policepardfaut"/>
    <w:uiPriority w:val="20"/>
    <w:qFormat/>
    <w:rsid w:val="001A0C05"/>
    <w:rPr>
      <w:i/>
      <w:iCs/>
    </w:rPr>
  </w:style>
  <w:style w:type="paragraph" w:styleId="Textedebulles">
    <w:name w:val="Balloon Text"/>
    <w:basedOn w:val="Normal"/>
    <w:link w:val="TextedebullesCar"/>
    <w:uiPriority w:val="99"/>
    <w:semiHidden/>
    <w:unhideWhenUsed/>
    <w:rsid w:val="001A0C0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0C05"/>
    <w:rPr>
      <w:rFonts w:ascii="Tahoma" w:hAnsi="Tahoma" w:cs="Tahoma"/>
      <w:sz w:val="16"/>
      <w:szCs w:val="16"/>
    </w:rPr>
  </w:style>
  <w:style w:type="paragraph" w:styleId="En-tte">
    <w:name w:val="header"/>
    <w:basedOn w:val="Normal"/>
    <w:link w:val="En-tteCar"/>
    <w:uiPriority w:val="99"/>
    <w:unhideWhenUsed/>
    <w:rsid w:val="002E0F4E"/>
    <w:pPr>
      <w:tabs>
        <w:tab w:val="center" w:pos="4536"/>
        <w:tab w:val="right" w:pos="9072"/>
      </w:tabs>
      <w:spacing w:line="240" w:lineRule="auto"/>
    </w:pPr>
  </w:style>
  <w:style w:type="character" w:customStyle="1" w:styleId="En-tteCar">
    <w:name w:val="En-tête Car"/>
    <w:basedOn w:val="Policepardfaut"/>
    <w:link w:val="En-tte"/>
    <w:uiPriority w:val="99"/>
    <w:rsid w:val="002E0F4E"/>
  </w:style>
  <w:style w:type="paragraph" w:styleId="Pieddepage">
    <w:name w:val="footer"/>
    <w:basedOn w:val="Normal"/>
    <w:link w:val="PieddepageCar"/>
    <w:uiPriority w:val="99"/>
    <w:unhideWhenUsed/>
    <w:rsid w:val="002E0F4E"/>
    <w:pPr>
      <w:tabs>
        <w:tab w:val="center" w:pos="4536"/>
        <w:tab w:val="right" w:pos="9072"/>
      </w:tabs>
      <w:spacing w:line="240" w:lineRule="auto"/>
    </w:pPr>
  </w:style>
  <w:style w:type="character" w:customStyle="1" w:styleId="PieddepageCar">
    <w:name w:val="Pied de page Car"/>
    <w:basedOn w:val="Policepardfaut"/>
    <w:link w:val="Pieddepage"/>
    <w:uiPriority w:val="99"/>
    <w:rsid w:val="002E0F4E"/>
  </w:style>
  <w:style w:type="paragraph" w:styleId="Paragraphedeliste">
    <w:name w:val="List Paragraph"/>
    <w:basedOn w:val="Normal"/>
    <w:uiPriority w:val="34"/>
    <w:qFormat/>
    <w:rsid w:val="00106331"/>
    <w:pPr>
      <w:ind w:left="720"/>
      <w:contextualSpacing/>
    </w:pPr>
  </w:style>
  <w:style w:type="paragraph" w:customStyle="1" w:styleId="TitreDossier">
    <w:name w:val="Titre Dossier"/>
    <w:basedOn w:val="Normal"/>
    <w:rsid w:val="00343AF3"/>
    <w:pPr>
      <w:pBdr>
        <w:top w:val="single" w:sz="12" w:space="12" w:color="CC0066"/>
        <w:left w:val="single" w:sz="12" w:space="4" w:color="CC0066"/>
        <w:bottom w:val="single" w:sz="12" w:space="12" w:color="CC0066"/>
        <w:right w:val="single" w:sz="12" w:space="4" w:color="CC0066"/>
      </w:pBdr>
      <w:spacing w:line="240" w:lineRule="auto"/>
      <w:ind w:left="142" w:right="142"/>
      <w:jc w:val="center"/>
    </w:pPr>
    <w:rPr>
      <w:rFonts w:ascii="Arial" w:eastAsia="Times New Roman" w:hAnsi="Arial" w:cs="Times New Roman"/>
      <w:b/>
      <w:color w:val="CC0066"/>
      <w:sz w:val="48"/>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
    <w:name w:val="titre1"/>
    <w:basedOn w:val="Normal"/>
    <w:rsid w:val="001A0C05"/>
    <w:pPr>
      <w:spacing w:before="100" w:beforeAutospacing="1" w:after="100" w:afterAutospacing="1" w:line="240" w:lineRule="auto"/>
    </w:pPr>
    <w:rPr>
      <w:rFonts w:ascii="Neuvarese-BoldItalic" w:eastAsia="Times New Roman" w:hAnsi="Neuvarese-BoldItalic" w:cs="Times New Roman"/>
      <w:b/>
      <w:bCs/>
      <w:color w:val="CC3300"/>
      <w:sz w:val="45"/>
      <w:szCs w:val="45"/>
      <w:lang w:eastAsia="fr-FR"/>
    </w:rPr>
  </w:style>
  <w:style w:type="paragraph" w:customStyle="1" w:styleId="titre2">
    <w:name w:val="titre2"/>
    <w:basedOn w:val="Normal"/>
    <w:rsid w:val="001A0C05"/>
    <w:pPr>
      <w:spacing w:before="100" w:beforeAutospacing="1" w:after="100" w:afterAutospacing="1" w:line="240" w:lineRule="auto"/>
    </w:pPr>
    <w:rPr>
      <w:rFonts w:ascii="Arial" w:eastAsia="Times New Roman" w:hAnsi="Arial" w:cs="Arial"/>
      <w:b/>
      <w:bCs/>
      <w:color w:val="666666"/>
      <w:sz w:val="27"/>
      <w:szCs w:val="27"/>
      <w:lang w:eastAsia="fr-FR"/>
    </w:rPr>
  </w:style>
  <w:style w:type="paragraph" w:customStyle="1" w:styleId="titre3">
    <w:name w:val="titre3"/>
    <w:basedOn w:val="Normal"/>
    <w:rsid w:val="001A0C05"/>
    <w:pPr>
      <w:spacing w:before="100" w:beforeAutospacing="1" w:after="100" w:afterAutospacing="1" w:line="240" w:lineRule="auto"/>
    </w:pPr>
    <w:rPr>
      <w:rFonts w:ascii="Arial" w:eastAsia="Times New Roman" w:hAnsi="Arial" w:cs="Arial"/>
      <w:b/>
      <w:bCs/>
      <w:color w:val="CC3300"/>
      <w:sz w:val="21"/>
      <w:szCs w:val="21"/>
      <w:lang w:eastAsia="fr-FR"/>
    </w:rPr>
  </w:style>
  <w:style w:type="paragraph" w:styleId="NormalWeb">
    <w:name w:val="Normal (Web)"/>
    <w:basedOn w:val="Normal"/>
    <w:uiPriority w:val="99"/>
    <w:unhideWhenUsed/>
    <w:rsid w:val="001A0C0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A0C05"/>
    <w:rPr>
      <w:color w:val="0000FF"/>
      <w:u w:val="single"/>
    </w:rPr>
  </w:style>
  <w:style w:type="character" w:styleId="lev">
    <w:name w:val="Strong"/>
    <w:basedOn w:val="Policepardfaut"/>
    <w:uiPriority w:val="22"/>
    <w:qFormat/>
    <w:rsid w:val="001A0C05"/>
    <w:rPr>
      <w:b/>
      <w:bCs/>
    </w:rPr>
  </w:style>
  <w:style w:type="character" w:styleId="Accentuation">
    <w:name w:val="Emphasis"/>
    <w:basedOn w:val="Policepardfaut"/>
    <w:uiPriority w:val="20"/>
    <w:qFormat/>
    <w:rsid w:val="001A0C05"/>
    <w:rPr>
      <w:i/>
      <w:iCs/>
    </w:rPr>
  </w:style>
  <w:style w:type="paragraph" w:styleId="Textedebulles">
    <w:name w:val="Balloon Text"/>
    <w:basedOn w:val="Normal"/>
    <w:link w:val="TextedebullesCar"/>
    <w:uiPriority w:val="99"/>
    <w:semiHidden/>
    <w:unhideWhenUsed/>
    <w:rsid w:val="001A0C0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0C05"/>
    <w:rPr>
      <w:rFonts w:ascii="Tahoma" w:hAnsi="Tahoma" w:cs="Tahoma"/>
      <w:sz w:val="16"/>
      <w:szCs w:val="16"/>
    </w:rPr>
  </w:style>
  <w:style w:type="paragraph" w:styleId="En-tte">
    <w:name w:val="header"/>
    <w:basedOn w:val="Normal"/>
    <w:link w:val="En-tteCar"/>
    <w:uiPriority w:val="99"/>
    <w:unhideWhenUsed/>
    <w:rsid w:val="002E0F4E"/>
    <w:pPr>
      <w:tabs>
        <w:tab w:val="center" w:pos="4536"/>
        <w:tab w:val="right" w:pos="9072"/>
      </w:tabs>
      <w:spacing w:line="240" w:lineRule="auto"/>
    </w:pPr>
  </w:style>
  <w:style w:type="character" w:customStyle="1" w:styleId="En-tteCar">
    <w:name w:val="En-tête Car"/>
    <w:basedOn w:val="Policepardfaut"/>
    <w:link w:val="En-tte"/>
    <w:uiPriority w:val="99"/>
    <w:rsid w:val="002E0F4E"/>
  </w:style>
  <w:style w:type="paragraph" w:styleId="Pieddepage">
    <w:name w:val="footer"/>
    <w:basedOn w:val="Normal"/>
    <w:link w:val="PieddepageCar"/>
    <w:uiPriority w:val="99"/>
    <w:unhideWhenUsed/>
    <w:rsid w:val="002E0F4E"/>
    <w:pPr>
      <w:tabs>
        <w:tab w:val="center" w:pos="4536"/>
        <w:tab w:val="right" w:pos="9072"/>
      </w:tabs>
      <w:spacing w:line="240" w:lineRule="auto"/>
    </w:pPr>
  </w:style>
  <w:style w:type="character" w:customStyle="1" w:styleId="PieddepageCar">
    <w:name w:val="Pied de page Car"/>
    <w:basedOn w:val="Policepardfaut"/>
    <w:link w:val="Pieddepage"/>
    <w:uiPriority w:val="99"/>
    <w:rsid w:val="002E0F4E"/>
  </w:style>
  <w:style w:type="paragraph" w:styleId="Paragraphedeliste">
    <w:name w:val="List Paragraph"/>
    <w:basedOn w:val="Normal"/>
    <w:uiPriority w:val="34"/>
    <w:qFormat/>
    <w:rsid w:val="001063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64344">
      <w:bodyDiv w:val="1"/>
      <w:marLeft w:val="0"/>
      <w:marRight w:val="0"/>
      <w:marTop w:val="0"/>
      <w:marBottom w:val="0"/>
      <w:divBdr>
        <w:top w:val="none" w:sz="0" w:space="0" w:color="auto"/>
        <w:left w:val="none" w:sz="0" w:space="0" w:color="auto"/>
        <w:bottom w:val="none" w:sz="0" w:space="0" w:color="auto"/>
        <w:right w:val="none" w:sz="0" w:space="0" w:color="auto"/>
      </w:divBdr>
      <w:divsChild>
        <w:div w:id="1962808211">
          <w:marLeft w:val="3525"/>
          <w:marRight w:val="0"/>
          <w:marTop w:val="0"/>
          <w:marBottom w:val="0"/>
          <w:divBdr>
            <w:top w:val="none" w:sz="0" w:space="0" w:color="auto"/>
            <w:left w:val="none" w:sz="0" w:space="0" w:color="auto"/>
            <w:bottom w:val="none" w:sz="0" w:space="0" w:color="auto"/>
            <w:right w:val="none" w:sz="0" w:space="0" w:color="auto"/>
          </w:divBdr>
          <w:divsChild>
            <w:div w:id="212580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41266">
      <w:bodyDiv w:val="1"/>
      <w:marLeft w:val="0"/>
      <w:marRight w:val="0"/>
      <w:marTop w:val="0"/>
      <w:marBottom w:val="0"/>
      <w:divBdr>
        <w:top w:val="none" w:sz="0" w:space="0" w:color="auto"/>
        <w:left w:val="none" w:sz="0" w:space="0" w:color="auto"/>
        <w:bottom w:val="none" w:sz="0" w:space="0" w:color="auto"/>
        <w:right w:val="none" w:sz="0" w:space="0" w:color="auto"/>
      </w:divBdr>
    </w:div>
    <w:div w:id="1344236721">
      <w:bodyDiv w:val="1"/>
      <w:marLeft w:val="0"/>
      <w:marRight w:val="0"/>
      <w:marTop w:val="0"/>
      <w:marBottom w:val="0"/>
      <w:divBdr>
        <w:top w:val="none" w:sz="0" w:space="0" w:color="auto"/>
        <w:left w:val="none" w:sz="0" w:space="0" w:color="auto"/>
        <w:bottom w:val="none" w:sz="0" w:space="0" w:color="auto"/>
        <w:right w:val="none" w:sz="0" w:space="0" w:color="auto"/>
      </w:divBdr>
    </w:div>
    <w:div w:id="1578397053">
      <w:bodyDiv w:val="1"/>
      <w:marLeft w:val="0"/>
      <w:marRight w:val="0"/>
      <w:marTop w:val="0"/>
      <w:marBottom w:val="0"/>
      <w:divBdr>
        <w:top w:val="none" w:sz="0" w:space="0" w:color="auto"/>
        <w:left w:val="none" w:sz="0" w:space="0" w:color="auto"/>
        <w:bottom w:val="none" w:sz="0" w:space="0" w:color="auto"/>
        <w:right w:val="none" w:sz="0" w:space="0" w:color="auto"/>
      </w:divBdr>
      <w:divsChild>
        <w:div w:id="301934841">
          <w:marLeft w:val="3525"/>
          <w:marRight w:val="0"/>
          <w:marTop w:val="0"/>
          <w:marBottom w:val="0"/>
          <w:divBdr>
            <w:top w:val="none" w:sz="0" w:space="0" w:color="auto"/>
            <w:left w:val="none" w:sz="0" w:space="0" w:color="auto"/>
            <w:bottom w:val="none" w:sz="0" w:space="0" w:color="auto"/>
            <w:right w:val="none" w:sz="0" w:space="0" w:color="auto"/>
          </w:divBdr>
          <w:divsChild>
            <w:div w:id="142733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131430">
      <w:bodyDiv w:val="1"/>
      <w:marLeft w:val="0"/>
      <w:marRight w:val="0"/>
      <w:marTop w:val="0"/>
      <w:marBottom w:val="0"/>
      <w:divBdr>
        <w:top w:val="none" w:sz="0" w:space="0" w:color="auto"/>
        <w:left w:val="none" w:sz="0" w:space="0" w:color="auto"/>
        <w:bottom w:val="none" w:sz="0" w:space="0" w:color="auto"/>
        <w:right w:val="none" w:sz="0" w:space="0" w:color="auto"/>
      </w:divBdr>
      <w:divsChild>
        <w:div w:id="19114990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gif"/><Relationship Id="rId18" Type="http://schemas.openxmlformats.org/officeDocument/2006/relationships/hyperlink" Target="http://www.insee.fr/fr/themes/document.asp?reg_id=0&amp;ref_id=ip1402&amp;page=sdb" TargetMode="External"/><Relationship Id="rId26" Type="http://schemas.openxmlformats.org/officeDocument/2006/relationships/hyperlink" Target="http://www.insee.fr/fr/methodes/default.asp?page=definitions/menage.htm" TargetMode="External"/><Relationship Id="rId39" Type="http://schemas.openxmlformats.org/officeDocument/2006/relationships/hyperlink" Target="http://www.credoc.fr/publications/abstract.php?ref=CMV235" TargetMode="External"/><Relationship Id="rId21" Type="http://schemas.openxmlformats.org/officeDocument/2006/relationships/hyperlink" Target="http://www.insee.fr/fr/ffc/docs_ffc/ref/CONSO09c.PDF" TargetMode="External"/><Relationship Id="rId34" Type="http://schemas.openxmlformats.org/officeDocument/2006/relationships/image" Target="media/image8.png"/><Relationship Id="rId42" Type="http://schemas.openxmlformats.org/officeDocument/2006/relationships/hyperlink" Target="http://www.ses.ac-versailles.fr/spip.php?article144*" TargetMode="External"/><Relationship Id="rId47" Type="http://schemas.openxmlformats.org/officeDocument/2006/relationships/hyperlink" Target="http://www.ladocumentationfrancaise.fr/dossiers/epargne-salariale/index.shtml"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www.insee.fr/fr/themes/document.asp?reg_id=0&amp;ref_id=ip1402&amp;page=sdb" TargetMode="External"/><Relationship Id="rId25" Type="http://schemas.openxmlformats.org/officeDocument/2006/relationships/image" Target="media/image7.png"/><Relationship Id="rId33" Type="http://schemas.openxmlformats.org/officeDocument/2006/relationships/hyperlink" Target="file:///C:\Users\Simon\Documents\CERPEG\ressdiscipl\economie\ecogene\conso_epargn_V2.htm" TargetMode="External"/><Relationship Id="rId38" Type="http://schemas.openxmlformats.org/officeDocument/2006/relationships/hyperlink" Target="http://www.insee.fr/fr/ffc/docs_ffc/ref/CONSO09c.PDF" TargetMode="External"/><Relationship Id="rId46" Type="http://schemas.openxmlformats.org/officeDocument/2006/relationships/hyperlink" Target="http://www.inegalites.fr/spip.php?article270"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4.jpeg"/><Relationship Id="rId29" Type="http://schemas.openxmlformats.org/officeDocument/2006/relationships/hyperlink" Target="http://www.insee.fr/fr/methodes/default.asp?page=definitions/internet.htm" TargetMode="External"/><Relationship Id="rId41" Type="http://schemas.openxmlformats.org/officeDocument/2006/relationships/hyperlink" Target="http://www.insee.fr/fr/publications-et-services/sommaire.asp?codesage=SALFRA10&amp;nivgeo=0"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see.fr/fr/methodes/default.asp?page=definitions/liste-definitions.htm" TargetMode="External"/><Relationship Id="rId24" Type="http://schemas.openxmlformats.org/officeDocument/2006/relationships/hyperlink" Target="http://www.statapprendre.education.fr/insee/cons/quoi/coef.htm" TargetMode="External"/><Relationship Id="rId32" Type="http://schemas.openxmlformats.org/officeDocument/2006/relationships/hyperlink" Target="file:///C:\Users\Simon\Documents\CERPEG\ressdiscipl\economie\ecogene\conso_epargn_V2.htm" TargetMode="External"/><Relationship Id="rId37" Type="http://schemas.openxmlformats.org/officeDocument/2006/relationships/hyperlink" Target="http://www.statapprendre.education.fr/insee/cons/combien/combienaccueil.htm" TargetMode="External"/><Relationship Id="rId40" Type="http://schemas.openxmlformats.org/officeDocument/2006/relationships/hyperlink" Target="http://www.insee.fr/fr/themes/document.asp?reg_id=0&amp;ref_id=ip1300" TargetMode="External"/><Relationship Id="rId45" Type="http://schemas.openxmlformats.org/officeDocument/2006/relationships/hyperlink" Target="http://www.banque-france.fr/fr/publications/telechar/autres_telechar/typologi.pdf" TargetMode="External"/><Relationship Id="rId53"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insee.fr/fr/themes/document.asp?reg_id=0&amp;ref_id=ip1402&amp;page=sdb" TargetMode="External"/><Relationship Id="rId23" Type="http://schemas.openxmlformats.org/officeDocument/2006/relationships/image" Target="media/image6.jpeg"/><Relationship Id="rId28" Type="http://schemas.openxmlformats.org/officeDocument/2006/relationships/hyperlink" Target="http://www.insee.fr/fr/methodes/default.asp?page=definitions/secteur-d-activite.htm" TargetMode="External"/><Relationship Id="rId36" Type="http://schemas.openxmlformats.org/officeDocument/2006/relationships/hyperlink" Target="http://www.insee.fr/fr/indicateur/cnat_annu/base_95/tableaux/ex/tab_eco_ensemble_ex.htm" TargetMode="External"/><Relationship Id="rId49" Type="http://schemas.openxmlformats.org/officeDocument/2006/relationships/header" Target="header1.xml"/><Relationship Id="rId10" Type="http://schemas.openxmlformats.org/officeDocument/2006/relationships/hyperlink" Target="file:///C:\Users\Simon\Documents\CERPEG\ressdiscipl\economie\ecogene\conso_epargn_V2.htm" TargetMode="External"/><Relationship Id="rId19" Type="http://schemas.openxmlformats.org/officeDocument/2006/relationships/hyperlink" Target="http://www.statapprendre.education.fr/insee/cons/combien/definitions.htm" TargetMode="External"/><Relationship Id="rId31" Type="http://schemas.openxmlformats.org/officeDocument/2006/relationships/hyperlink" Target="http://www.insee.fr/fr/methodes/default.asp?page=definitions/immat-voitures-part-neuves.htm" TargetMode="External"/><Relationship Id="rId44" Type="http://schemas.openxmlformats.org/officeDocument/2006/relationships/hyperlink" Target="http://www.ladocumentationfrancaise.fr/rapports-publics/074000707/index.shtml" TargetMode="External"/><Relationship Id="rId52"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file:///C:\Users\Simon\Documents\CERPEG\ressdiscipl\economie\ecogene\conso_epargn_V2.htm" TargetMode="External"/><Relationship Id="rId14" Type="http://schemas.openxmlformats.org/officeDocument/2006/relationships/hyperlink" Target="http://www.insee.fr/fr/themes/document.asp?reg_id=0&amp;ref_id=ip1402&amp;page=sdb" TargetMode="External"/><Relationship Id="rId22" Type="http://schemas.openxmlformats.org/officeDocument/2006/relationships/image" Target="media/image5.jpeg"/><Relationship Id="rId27" Type="http://schemas.openxmlformats.org/officeDocument/2006/relationships/hyperlink" Target="http://www.insee.fr/fr/methodes/default.asp?page=definitions/biens.htm" TargetMode="External"/><Relationship Id="rId30" Type="http://schemas.openxmlformats.org/officeDocument/2006/relationships/hyperlink" Target="http://www.insee.fr/fr/methodes/default.asp?page=definitions/internaute.htm" TargetMode="External"/><Relationship Id="rId35" Type="http://schemas.openxmlformats.org/officeDocument/2006/relationships/hyperlink" Target="http://www.ladocumentationfrancaise.fr/revues-collections/problemes-economiques/graphiques/evolutions-macroeconomiques.shtml" TargetMode="External"/><Relationship Id="rId43" Type="http://schemas.openxmlformats.org/officeDocument/2006/relationships/hyperlink" Target="http://www.lemonde.fr/la-crise-financiere/article/2009/10/13/avec-la-crise-le-surendettement-des-menages-explose_1253334_1101386.html" TargetMode="External"/><Relationship Id="rId48" Type="http://schemas.openxmlformats.org/officeDocument/2006/relationships/hyperlink" Target="http://www.christian-biales.net/documents/epargne.pdf"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0B7C76F-2A17-4EBA-BC7E-FFA91F6EE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17</Pages>
  <Words>5217</Words>
  <Characters>28697</Characters>
  <Application>Microsoft Office Word</Application>
  <DocSecurity>0</DocSecurity>
  <Lines>239</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Edith Simon</dc:creator>
  <cp:lastModifiedBy>Géraldine</cp:lastModifiedBy>
  <cp:revision>87</cp:revision>
  <dcterms:created xsi:type="dcterms:W3CDTF">2012-10-28T04:52:00Z</dcterms:created>
  <dcterms:modified xsi:type="dcterms:W3CDTF">2012-11-14T19:45:00Z</dcterms:modified>
</cp:coreProperties>
</file>